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" w:cs="Arial" w:eastAsia="Arial" w:hAnsi="Arial"/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Món clàssic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vertAlign w:val="baseline"/>
          <w:rtl w:val="0"/>
        </w:rPr>
        <w:t xml:space="preserve"> 1r Batxillerat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keepNext w:val="1"/>
        <w:widowControl w:val="0"/>
        <w:spacing w:after="6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 nota final de la convocatòria trimestral s’obté a partir de les notes obtingudes en la següent seqüència, segons els següents percentatges:</w:t>
      </w:r>
    </w:p>
    <w:p w:rsidR="00000000" w:rsidDel="00000000" w:rsidP="00000000" w:rsidRDefault="00000000" w:rsidRPr="00000000" w14:paraId="00000005">
      <w:pPr>
        <w:keepNext w:val="1"/>
        <w:widowControl w:val="0"/>
        <w:spacing w:after="6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02.0" w:type="dxa"/>
        <w:jc w:val="center"/>
        <w:tblLayout w:type="fixed"/>
        <w:tblLook w:val="0000"/>
      </w:tblPr>
      <w:tblGrid>
        <w:gridCol w:w="5633"/>
        <w:gridCol w:w="2569"/>
        <w:tblGridChange w:id="0">
          <w:tblGrid>
            <w:gridCol w:w="5633"/>
            <w:gridCol w:w="25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6">
            <w:pPr>
              <w:spacing w:after="200" w:line="276" w:lineRule="auto"/>
              <w:jc w:val="center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Competència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7">
            <w:pPr>
              <w:spacing w:after="200" w:line="276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Ponderació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200" w:line="276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Competències comunicatives: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 prov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escrit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Exposicions orals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after="200"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 escrits i/o audiovisuals</w:t>
            </w:r>
          </w:p>
          <w:p w:rsidR="00000000" w:rsidDel="00000000" w:rsidP="00000000" w:rsidRDefault="00000000" w:rsidRPr="00000000" w14:paraId="0000000C">
            <w:pPr>
              <w:spacing w:after="200" w:line="276" w:lineRule="auto"/>
              <w:ind w:left="720" w:firstLine="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0E">
            <w:pPr>
              <w:spacing w:after="200" w:line="276" w:lineRule="auto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0%</w:t>
            </w:r>
          </w:p>
          <w:p w:rsidR="00000000" w:rsidDel="00000000" w:rsidP="00000000" w:rsidRDefault="00000000" w:rsidRPr="00000000" w14:paraId="0000000F">
            <w:pPr>
              <w:spacing w:after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15%</w:t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Competències metodològiques: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Exercicis d’etimologia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Exercicis de cultura i societat grecoromana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Exercicis de tradició i pervivència clàssica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Activitats a l’aula (debats, lectures, reflexions, etc.)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Participació activa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200" w:line="276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Mitjana ponderada en funció del pes de l’activitat</w:t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ind w:left="720" w:firstLine="0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0" w:line="276" w:lineRule="auto"/>
              <w:ind w:left="394" w:firstLine="0"/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Avaluació de les competències metodològiques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20% correspon a la nota del treball de classe i/o del de casa. S’avaluarà a partir de la observació diària, dels exercicis i activitats realitzats a l’aula i/o casa. Les activitats poden incloure exercicis d’etimologia, societat, mitologia, cultura, pervivència, etc. A més, es valorarà la participació activa en la correcció d’aquests exercicis. 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Avaluació de les Competències Comunicatives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hd w:fill="ff9900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final de cada trimestre hi haurà una prova que valdrà un 50% de la nota on s’avaluin els continguts treballats durant el trimestre.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L’altre 15% inclou exposicions orals sobre temes treballats a l’aula. Aquestes exposicions poden tractar-se de l’explicació i pervivència de mites clàssics, divulgació de personatges històrics de l’Antiguitat, recerca d’etimologia grega, expressions i locucions llatines en l’actualitat, realització de sessions didàctiques, etc. 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L’últim 15% avalua la investigació de temes de la civilització, llengua, literatura i mitologia grecoromanes. Els alumnes hauran de presentar per escrit o en altres formats el resultat de la seva recerca. 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considerarà l’aprovat quan s’assoleixi com a mínim un cinc (5). Els alumnes que obtinguin una puntuació superior al 4.5 i inferior a 5 es valorarà el seu rendiment a classe (Competències metodològiques) per tal d’assolir l’aprovat.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Arial" w:cs="Arial" w:eastAsia="Arial" w:hAnsi="Arial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footerReference r:id="rId11" w:type="even"/>
          <w:pgSz w:h="16838" w:w="11906" w:orient="portrait"/>
          <w:pgMar w:bottom="1134" w:top="1418" w:left="1418" w:right="1418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final</w:t>
      </w:r>
    </w:p>
    <w:p w:rsidR="00000000" w:rsidDel="00000000" w:rsidP="00000000" w:rsidRDefault="00000000" w:rsidRPr="00000000" w14:paraId="0000002A">
      <w:pPr>
        <w:keepNext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 w:before="240" w:line="240" w:lineRule="auto"/>
        <w:ind w:left="-566.9291338582677" w:firstLine="566.92913385826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nota de la final contínua s’obté a partir de les notes obtingudes en els diferents</w:t>
      </w:r>
    </w:p>
    <w:p w:rsidR="00000000" w:rsidDel="00000000" w:rsidP="00000000" w:rsidRDefault="00000000" w:rsidRPr="00000000" w14:paraId="0000002B">
      <w:pPr>
        <w:keepNext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 w:before="240" w:line="240" w:lineRule="auto"/>
        <w:ind w:left="-566.9291338582677" w:firstLine="566.92913385826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trimestres. Segons:</w:t>
      </w:r>
    </w:p>
    <w:p w:rsidR="00000000" w:rsidDel="00000000" w:rsidP="00000000" w:rsidRDefault="00000000" w:rsidRPr="00000000" w14:paraId="000000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cs="Arial" w:eastAsia="Arial" w:hAnsi="Arial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QF = </w:t>
      </w: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Es considerarà l’aprovat quan s’assoleixi com a mínim un cinc (5). Els alumnes que obtinguin una puntuació superior al 4,5 i inferior a 5 es valorarà el seu rendiment a classe per tal d’assolir l’aprovat (Competències metodològiques).</w:t>
      </w:r>
    </w:p>
    <w:p w:rsidR="00000000" w:rsidDel="00000000" w:rsidP="00000000" w:rsidRDefault="00000000" w:rsidRPr="00000000" w14:paraId="00000036">
      <w:pPr>
        <w:spacing w:after="200" w:line="276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no superar el trimestre (mitjana de totes les competències inferior a 5) l’alumne/a haurà de presentar-se a una prova de recuperació dels continguts dels trimestre no aprovat, a més de presentar tots aquells treballs no presentats en el seu 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AVALUACIÓ EXTRAORDINÀRIA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JUNY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Hi ha haurà una prova única amb els mateixos continguts que en la darrera prova del curs ordinari. La nota mínima per aprovar serà un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418" w:left="1418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709.0" w:type="dxa"/>
      <w:jc w:val="left"/>
      <w:tblInd w:w="-591.0" w:type="dxa"/>
      <w:tblLayout w:type="fixed"/>
      <w:tblLook w:val="0000"/>
    </w:tblPr>
    <w:tblGrid>
      <w:gridCol w:w="693"/>
      <w:gridCol w:w="2303"/>
      <w:gridCol w:w="1124"/>
      <w:gridCol w:w="1100"/>
      <w:gridCol w:w="1711"/>
      <w:gridCol w:w="567"/>
      <w:gridCol w:w="1451"/>
      <w:gridCol w:w="760"/>
      <w:tblGridChange w:id="0">
        <w:tblGrid>
          <w:gridCol w:w="693"/>
          <w:gridCol w:w="2303"/>
          <w:gridCol w:w="1124"/>
          <w:gridCol w:w="1100"/>
          <w:gridCol w:w="1711"/>
          <w:gridCol w:w="567"/>
          <w:gridCol w:w="1451"/>
          <w:gridCol w:w="76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top"/>
        </w:tcPr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3210" cy="320675"/>
                <wp:effectExtent b="0" l="0" r="0" t="0"/>
                <wp:docPr id="10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210" cy="320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d’Ensenyament</w:t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vertAlign w:val="baseline"/>
              <w:rtl w:val="0"/>
            </w:rPr>
            <w:t xml:space="preserve">14/02/2013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Criteris Avaluació BAT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2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Coord. Pedagògica 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</w:tcBorders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MO-PRO035</w:t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180.0" w:type="dxa"/>
      <w:jc w:val="left"/>
      <w:tblInd w:w="0.0" w:type="dxa"/>
      <w:tblLayout w:type="fixed"/>
      <w:tblLook w:val="0000"/>
    </w:tblPr>
    <w:tblGrid>
      <w:gridCol w:w="3060"/>
      <w:gridCol w:w="1800"/>
      <w:gridCol w:w="1440"/>
      <w:gridCol w:w="1797"/>
      <w:gridCol w:w="1083"/>
      <w:tblGridChange w:id="0">
        <w:tblGrid>
          <w:gridCol w:w="3060"/>
          <w:gridCol w:w="1800"/>
          <w:gridCol w:w="1440"/>
          <w:gridCol w:w="1797"/>
          <w:gridCol w:w="1083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F">
          <w:pPr>
            <w:tabs>
              <w:tab w:val="left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229235</wp:posOffset>
                </wp:positionH>
                <wp:positionV relativeFrom="paragraph">
                  <wp:posOffset>0</wp:posOffset>
                </wp:positionV>
                <wp:extent cx="630555" cy="630555"/>
                <wp:effectExtent b="0" l="0" r="0" t="0"/>
                <wp:wrapSquare wrapText="bothSides" distB="0" distT="0" distL="114935" distR="114935"/>
                <wp:docPr id="10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" cy="630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8990" cy="808990"/>
                <wp:effectExtent b="0" l="0" r="0" t="0"/>
                <wp:wrapSquare wrapText="bothSides" distB="0" distT="0" distL="114935" distR="114935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808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40">
          <w:pPr>
            <w:keepNext w:val="1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32" w:right="0" w:hanging="432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CRITERIS D'AVALUACIÓ</w:t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keepNext w:val="1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32" w:right="0" w:hanging="432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3">
          <w:pPr>
            <w:rPr>
              <w:b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rPr>
              <w:rFonts w:ascii="Arial" w:cs="Arial" w:eastAsia="Arial" w:hAnsi="Arial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vertAlign w:val="baseline"/>
              <w:rtl w:val="0"/>
            </w:rPr>
            <w:t xml:space="preserve">Departament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46">
          <w:pPr>
            <w:rPr>
              <w:color w:val="333333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vertAlign w:val="baseline"/>
              <w:rtl w:val="0"/>
            </w:rPr>
            <w:t xml:space="preserve">Llengües Clàssiques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4A">
          <w:pPr>
            <w:rPr>
              <w:rFonts w:ascii="Arial" w:cs="Arial" w:eastAsia="Arial" w:hAnsi="Arial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vertAlign w:val="baseline"/>
              <w:rtl w:val="0"/>
            </w:rPr>
            <w:t xml:space="preserve">BAT</w:t>
          </w:r>
        </w:p>
      </w:tc>
      <w:tc>
        <w:tcPr>
          <w:gridSpan w:val="3"/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4B">
          <w:pPr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333333"/>
              <w:sz w:val="18"/>
              <w:szCs w:val="18"/>
              <w:rtl w:val="0"/>
            </w:rPr>
            <w:t xml:space="preserve">Món clàssic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zh-CN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Lucida Grande" w:cs="Symbol" w:eastAsia="ヒラギノ角ゴ Pro W3" w:hAnsi="Lucida Grande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eastAsia="ヒラギノ角ゴ Pro W3" w:hAnsi="Courier New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eastAsia="ヒラギノ角ゴ Pro W3" w:hAnsi="Wingdings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Lucida Grande" w:cs="Symbol" w:eastAsia="ヒラギノ角ゴ Pro W3" w:hAnsi="Lucida Grande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eastAsia="ヒラギノ角ゴ Pro W3" w:hAnsi="Courier New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eastAsia="ヒラギノ角ゴ Pro W3" w:hAnsi="Wingdings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Lucida Grande" w:cs="Symbol" w:eastAsia="ヒラギノ角ゴ Pro W3" w:hAnsi="Lucida Grande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eastAsia="ヒラギノ角ゴ Pro W3" w:hAnsi="Courier New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eastAsia="ヒラギノ角ゴ Pro W3" w:hAnsi="Wingdings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Lucida Grande" w:cs="Symbol" w:eastAsia="ヒラギノ角ゴ Pro W3" w:hAnsi="Lucida Grande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eastAsia="ヒラギノ角ゴ Pro W3" w:hAnsi="Courier New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eastAsia="ヒラギノ角ゴ Pro W3" w:hAnsi="Wingdings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Lucida Grande" w:cs="Symbol" w:eastAsia="ヒラギノ角ゴ Pro W3" w:hAnsi="Lucida Grande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eastAsia="ヒラギノ角ゴ Pro W3" w:hAnsi="Courier New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eastAsia="ヒラギノ角ゴ Pro W3" w:hAnsi="Wingdings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Lucida Grande" w:cs="Symbol" w:eastAsia="ヒラギノ角ゴ Pro W3" w:hAnsi="Lucida Grande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eastAsia="ヒラギノ角ゴ Pro W3" w:hAnsi="Courier New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eastAsia="ヒラギノ角ゴ Pro W3" w:hAnsi="Wingdings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Lucida Grande" w:cs="Symbol" w:eastAsia="ヒラギノ角ゴ Pro W3" w:hAnsi="Lucida Grande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eastAsia="ヒラギノ角ゴ Pro W3" w:hAnsi="Courier New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eastAsia="ヒラギノ角ゴ Pro W3" w:hAnsi="Wingdings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Tipusdelletraperdefectedelparàgraf1">
    <w:name w:val="Tipus de lletra per defecte del paràgraf1"/>
    <w:next w:val="Tipusdelletraperdefectedelparàgraf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ol3Car">
    <w:name w:val="Títol 3 Car"/>
    <w:next w:val="Títol3Car"/>
    <w:autoRedefine w:val="0"/>
    <w:hidden w:val="0"/>
    <w:qFormat w:val="0"/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val="ca-ES"/>
    </w:rPr>
  </w:style>
  <w:style w:type="character" w:styleId="tit1">
    <w:name w:val="tit1"/>
    <w:next w:val="tit1"/>
    <w:autoRedefine w:val="0"/>
    <w:hidden w:val="0"/>
    <w:qFormat w:val="0"/>
    <w:rPr>
      <w:b w:val="1"/>
      <w:bCs w:val="1"/>
      <w:color w:val="4e4e4e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PeuCar">
    <w:name w:val="Peu Car"/>
    <w:next w:val="Peu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ex">
    <w:name w:val="Índex"/>
    <w:basedOn w:val="Normal"/>
    <w:next w:val="Í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CN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zh-CN" w:val="und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pKKvtX1RHXgAcJDvxVe6ny6FGA==">AMUW2mWvUMx1hWYvBZ/o6XrwnCiGFt8Q73NOS3+VNMhv8BVp12WA0M6wF3YIDjJ/n6VT9HNBsmz0FnRTqtdOrqped7l4gmwtXzBu7pCETVAcOU2isdLIoog=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2018-05-30T16:49:00Z</dcterms:created>
  <dc:creator>j&amp;n</dc:creator>
</cp:coreProperties>
</file>