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0E" w:rsidRPr="006E7B0E" w:rsidRDefault="006E7B0E" w:rsidP="006E7B0E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Avui 31 de març de 2015,s’han aprovat dues lleis orgàniques que modifiquen la Llei orgànica 10/1995, del Codi Penal.</w:t>
      </w:r>
    </w:p>
    <w:p w:rsidR="006E7B0E" w:rsidRPr="006E7B0E" w:rsidRDefault="006E7B0E" w:rsidP="006E7B0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hyperlink r:id="rId9" w:history="1">
        <w:r w:rsidRPr="006E7B0E">
          <w:rPr>
            <w:rFonts w:ascii="inherit" w:eastAsia="Times New Roman" w:hAnsi="inherit" w:cs="Arial"/>
            <w:color w:val="1E73BE"/>
            <w:sz w:val="24"/>
            <w:szCs w:val="24"/>
            <w:bdr w:val="none" w:sz="0" w:space="0" w:color="auto" w:frame="1"/>
            <w:lang w:val="ca-ES" w:eastAsia="ca-ES"/>
          </w:rPr>
          <w:t>http://www.boe.es/boe/dias/2015/03/31/pdfs/BOE-A-2015-3439.pdf</w:t>
        </w:r>
      </w:hyperlink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(àmbit general)</w:t>
      </w:r>
    </w:p>
    <w:p w:rsidR="006E7B0E" w:rsidRPr="006E7B0E" w:rsidRDefault="006E7B0E" w:rsidP="006E7B0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hyperlink r:id="rId10" w:history="1">
        <w:r w:rsidRPr="006E7B0E">
          <w:rPr>
            <w:rFonts w:ascii="inherit" w:eastAsia="Times New Roman" w:hAnsi="inherit" w:cs="Arial"/>
            <w:color w:val="1E73BE"/>
            <w:sz w:val="24"/>
            <w:szCs w:val="24"/>
            <w:bdr w:val="none" w:sz="0" w:space="0" w:color="auto" w:frame="1"/>
            <w:lang w:val="ca-ES" w:eastAsia="ca-ES"/>
          </w:rPr>
          <w:t>http://www.boe.es/boe/dias/2015/03/31/pdfs/BOE-A-2015-3440.pdf</w:t>
        </w:r>
      </w:hyperlink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 (delictes de terrorisme)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Les dues reformes, comporten un canvi molt important en el dret penal i hem intentat fer un resum molt esquemàtic sobre les principals novetats. Som conscients que resulta impossible resumir els més de 260 articles que s’afegeixen, s’eliminen o es modifiquen.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Amb un exercici d’humilitat hem volgut exposar aquelles qüestions que poden ser més rellevants o d’un ús més quotidià per aquelles persones que en la seva vida professional utilitzen o treballen amb el Codi Penal, bàsicament policies i advocats.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Tampoc hem volgut fer una valoració subjectiva, perquè com tot, cadascú tindrà la seva opinió i podrà jutjar l’oportunitat o necessitat de cada punt de la reforma.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Anem a veure:</w:t>
      </w:r>
    </w:p>
    <w:p w:rsidR="006E7B0E" w:rsidRPr="006E7B0E" w:rsidRDefault="006E7B0E" w:rsidP="006E7B0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</w:t>
      </w: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Entrada en vigor: 1 de juliol de 2015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 </w:t>
      </w: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Desapareixen les faltes penals, ara hi haurà delictes lleus, que prescriuran a l’any (enlloc dels 6 mesos com fins ara), tot i que es tramitaran igualment pel procediment del judici de faltes.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Es perfila i es concreta la responsabilitat penal de les persones jurídiques (art. 30 i 31) S’especifica que les Administracions públiques, com a persones jurídiques, no són criminalment responsables.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Es modifica l’art.33, sobre les penes a imposar (penes greus, menys greus i lleus).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Art 33.2: S’introdueix la pena de</w:t>
      </w: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 presó permanent revisable</w:t>
      </w: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. ¿Inconstitucional per vulneració de l’article 25.2 CE -“</w:t>
      </w:r>
      <w:r w:rsidRPr="006E7B0E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  <w:lang w:val="ca-ES" w:eastAsia="ca-ES"/>
        </w:rPr>
        <w:t>les penes privatives de llibertat estaran orientades a la reeducació i reinserció social..”</w:t>
      </w: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?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Es modifica l’art.89: la substitució de la pena de presó per l’expulsió del territori per delictes comesos per ciutadans estrangers passa de les penes superiors a 6 anys, </w:t>
      </w: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a les superiors a 1 any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S’introdueix article 129.bis, en el qual es faculta al Jutge per tal d’ordenar la presa de mostra d’ADN per a determinats delictes contra la vida o llibertat sexuals, per tal que els resultats siguin incorporats a les bases de dades policials.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lastRenderedPageBreak/>
        <w:t>Prescripció de delictes: Art. 131 No prescriu el delicte de terrorisme si ha causat la mort d’almenys una persona.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138 CP: S’incrementa la pena d’homicidi en un grau (de 15 a 22 anys i mig) quan els fets també siguin constitutius d’atemptat (550CP)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139 CP: S’afegeix una altra causa d’assassinat, a part de la traïdoria, acarnissament o preu, recompensa o promesa: </w:t>
      </w: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Quan s’hagi comès per facilitar la comissió d’un altre delicte o per evitar que es descobreixi</w:t>
      </w: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140.2: La pena de presó permanent revisable s’aplicarà per als que assassinin a més de dues persones.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147.2 i 3: L’antiga falta de maltractament d’obra (617CP) passa a ser delicte de lesions amb penes de multa d’un a 2 mesos i l’antiga falta de lesions, un delicte castigat amb penes de multa d’un a 3 mesos. Aquests dos tipus delictius només seran perseguibles per denuncia de la víctima.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Desapareix la falta de lesions per imprudència lleu, per la qual es tramitaven la major part dels accidents de trànsit –igualment queda oberta la via civil de reclamació- , i ara només serà delicte si la imprudència és greu.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171.7:La falta d’amenaces passa a ser delicte lleu, amb penes de multa de 1 a 3 mesos, només perseguible mitjançant denúncia de la persona agreujada.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172.3:La falta de coaccions passa a ser delicte lleu, amb penes de multa de 1 a 3 mesos, només perseguible mitjançant denúncia de la persona agreujada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172.ter: s’afegeix un nou delicte, d’assetjament per als casos en els quals s’impedeixi a una altra persona dur una vida tranquil·la: mitjançant vigilàncies, intenti contactar amb ella insistentment, utilitzi indegudament dades personals, etc.. i serà castigat amb penes de 3 mesos a 2 anys de presó.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val="ca-ES" w:eastAsia="ca-ES"/>
        </w:rPr>
        <w:t>Canvia l’edat de consentiment per mantenir “actes de naturalesa sexual</w:t>
      </w: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”. Serà delicte amb menors de 16 anys, llevat que el Jutge apreciï que no hi ha una diferència d’edat o de maduresa.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S’afegeix art. 183. Ter: Incorpora com a típica conductes d’apropament o xantatge de tipus sexual per mitjà de les xarxes socials o internet a menors de 16 anys.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234. S’inclou com a delicte de furt, quan el valor no superi els 400€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249: S’inclou com a delicte d’estafa quan la quantia no superi els 400€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253: S’inclou com a delicte d’apropiació indeguda, quan la quantia no superi els 400€.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255: S’inclou com a delicte de defraudació de fluids elèctrics quan la quantia no superi els 400€.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270.4: Sempre serà delicte la venta ambulant encara que sigui ocasional de material que vulneri la propietat intel·lectual. És a dir, Top Manta.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lastRenderedPageBreak/>
        <w:t>S’afegeix Art. 311 bis: Es considerarà delicte donar feina a immigrants sense permís de treball, de manera reiterada.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Es modifica l’art. 337 sobre el maltractament animal, i s’afegeix com a delicte “sometiéndole a explotación sexual”. S’haurà de veure què entendrà la jurisprudència sobre explotació sexual animal: zoofilia</w:t>
      </w:r>
      <w:bookmarkStart w:id="0" w:name="_GoBack"/>
      <w:bookmarkEnd w:id="0"/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? Ja veurem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L’abandonament d’un animal que pugui causar-li danys o perill per a la seva vida passa de ser falta (antic 631.2)a ser delicte de l’article 337bis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Article 362.quinquiè: fa referència explícitament al dopatge en esportistes com a delicte.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El fet de transmetre moneda falsa per valor inferior a 400€, a consciència, passa de ser falta del 629 CP a ser delicte del 386CP.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Passa a ser delicte del 402bis, el que utilitzi públicament uniforme o insignia que atribueixin caràcter oficial. Fins ara ha estat considerat falta del 637 CP.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Passa a ser delicte del 403CP executar actes propis d’una professió sense tenir la titulació exigida.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S’amplia el delicte d’atemptat de l’art. 550 CP al personal docent i sanitari, tot i que la Jurisprudència recentment ja ho interpretava en aquest sentit. S’afegeix ara que poden ser víctimes d’atemptat els bombers i els membres de seguretat privada sempre que aquests darrers vagin uniformats o prestin funcions de cooperació sota el comandament de les forces i cossos de seguretat.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Passa a ser delicte pel 556.2 CP, la falta de respecte als agents de l’autoritat.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S’introdueix el delicte d’ocupar o envair en grup o en nom d’un grup, contra la voluntat del propietari, una oficina o local, encara que estigui obert al públic. Delicte dirigit a les accions d’activistes d’ocupació i tancament en sucursals bancs, per exemple.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En general es modifica força tot el que fa referència a desordres públics (art. 557 a 562CP). Es preveu ara com a delicte, la difusió pública de missatges que incitin a cometre delictes contra l’ordre públic.</w:t>
      </w:r>
    </w:p>
    <w:p w:rsidR="006E7B0E" w:rsidRPr="006E7B0E" w:rsidRDefault="006E7B0E" w:rsidP="006E7B0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</w:pPr>
      <w:r w:rsidRPr="006E7B0E">
        <w:rPr>
          <w:rFonts w:ascii="inherit" w:eastAsia="Times New Roman" w:hAnsi="inherit" w:cs="Arial"/>
          <w:color w:val="404040"/>
          <w:sz w:val="24"/>
          <w:szCs w:val="24"/>
          <w:lang w:val="ca-ES" w:eastAsia="ca-ES"/>
        </w:rPr>
        <w:t>Serà delicte del 561CP el que alarmi falsament serveis d’assistència (policies, bombers, ambulàncies). Fins ara només es penava com a delicte les amenaces falses d’artefactes explosius.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 Pel que fa a la Llei orgànica 2/2015, modifica tot el Capítol VII del títol XXII del llibre II de la Llei  Orgànica 10/1995, de 23 de novembre, del Codi Penal, que fa referència a les organitzacions i grups terroristes i els delictes de terrorisme.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t>A part d’adaptar el codi Penal a les noves modalitats de terrorisme existents avui dia, cal fer especial menció a que s’imposa la presó permanent revisable per aquells atemptats en els quals mori almenys una persona.</w:t>
      </w:r>
    </w:p>
    <w:p w:rsidR="006E7B0E" w:rsidRPr="006E7B0E" w:rsidRDefault="006E7B0E" w:rsidP="006E7B0E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</w:pPr>
      <w:r w:rsidRPr="006E7B0E">
        <w:rPr>
          <w:rFonts w:ascii="Arial" w:eastAsia="Times New Roman" w:hAnsi="Arial" w:cs="Arial"/>
          <w:color w:val="404040"/>
          <w:sz w:val="24"/>
          <w:szCs w:val="24"/>
          <w:lang w:val="ca-ES" w:eastAsia="ca-ES"/>
        </w:rPr>
        <w:lastRenderedPageBreak/>
        <w:t>En fi, toca a tots adaptar-nos als nous temps i a conviure amb la nova regulació penal. Queden ara uns mesos d’adaptació…i ja veurem com s’aplica tot plegat i sobretot, després de tipificar-ho tot com a delicte, com s’adeqüen els Jutjats a tal efecte. És evident que amb l’organització judicial actual, immersa de ple encara en el Segle XIX (burocràcia, paperassa, lentitud, nul ús de les noves tecnologies o d’internet –encara es presenten documents per fax i amb sobres manuscrits.- i sense cap avisament de la més mínima modernització, sembla inviable la posada en pràctica de manera satisfactòria d’aquesta reforma global del sistema penal.</w:t>
      </w:r>
    </w:p>
    <w:p w:rsidR="00873428" w:rsidRPr="0059072A" w:rsidRDefault="00873428" w:rsidP="0059072A"/>
    <w:sectPr w:rsidR="00873428" w:rsidRPr="0059072A" w:rsidSect="00932611">
      <w:headerReference w:type="default" r:id="rId11"/>
      <w:footerReference w:type="default" r:id="rId12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18C6E34E" wp14:editId="210AE54E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6E7B0E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</w:t>
          </w: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6E7B0E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D65BD0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6E7B0E">
            <w:rPr>
              <w:rFonts w:ascii="Arial" w:hAnsi="Arial" w:cs="Arial"/>
              <w:noProof/>
              <w:color w:val="808080"/>
              <w:sz w:val="16"/>
              <w:szCs w:val="16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6E7B0E">
            <w:rPr>
              <w:rFonts w:ascii="Arial" w:hAnsi="Arial" w:cs="Arial"/>
              <w:noProof/>
              <w:color w:val="808080"/>
              <w:sz w:val="16"/>
              <w:szCs w:val="16"/>
            </w:rPr>
            <w:t>4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6E7B0E">
            <w:rPr>
              <w:rFonts w:ascii="Arial" w:hAnsi="Arial" w:cs="Arial"/>
              <w:color w:val="808080"/>
              <w:sz w:val="16"/>
              <w:szCs w:val="16"/>
              <w:lang w:val="ca-ES"/>
            </w:rPr>
            <w:t>versió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Pr="006157FF" w:rsidRDefault="003A6B0B" w:rsidP="00A205D7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 w:rsidRPr="00056A37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8FCFF97" wp14:editId="3CE606C4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5D7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MÒDUL 22. M.P. 15. </w:t>
    </w:r>
    <w:r w:rsidR="00A205D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TRAMITACIÓ PROCESSAL I AUXILI JUDICIAL </w:t>
    </w:r>
  </w:p>
  <w:p w:rsidR="00873428" w:rsidRPr="00056A37" w:rsidRDefault="00A205D7" w:rsidP="006E7B0E">
    <w:pPr>
      <w:widowControl w:val="0"/>
      <w:suppressAutoHyphens/>
      <w:autoSpaceDE w:val="0"/>
      <w:spacing w:after="0" w:line="240" w:lineRule="auto"/>
      <w:jc w:val="center"/>
      <w:rPr>
        <w:rFonts w:ascii="Arial" w:hAnsi="Arial" w:cs="Arial"/>
        <w:color w:val="808080"/>
      </w:rPr>
    </w:pPr>
    <w:r w:rsidRPr="006157FF">
      <w:t xml:space="preserve"> </w:t>
    </w:r>
    <w:r w:rsidR="006E7B0E">
      <w:t>REFORMES CODI PENAL</w:t>
    </w:r>
  </w:p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C25A8"/>
    <w:multiLevelType w:val="multilevel"/>
    <w:tmpl w:val="BB0E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2C5355"/>
    <w:rsid w:val="003204DB"/>
    <w:rsid w:val="003A6B0B"/>
    <w:rsid w:val="003B71AF"/>
    <w:rsid w:val="003E281B"/>
    <w:rsid w:val="00417B46"/>
    <w:rsid w:val="0059072A"/>
    <w:rsid w:val="0060585B"/>
    <w:rsid w:val="00663C2F"/>
    <w:rsid w:val="006E7B0E"/>
    <w:rsid w:val="007213C5"/>
    <w:rsid w:val="00722F65"/>
    <w:rsid w:val="0076322B"/>
    <w:rsid w:val="007A0073"/>
    <w:rsid w:val="00873428"/>
    <w:rsid w:val="008C0F92"/>
    <w:rsid w:val="00932611"/>
    <w:rsid w:val="009703BF"/>
    <w:rsid w:val="00971335"/>
    <w:rsid w:val="009D50A3"/>
    <w:rsid w:val="009E1C17"/>
    <w:rsid w:val="00A205D7"/>
    <w:rsid w:val="00A93870"/>
    <w:rsid w:val="00A959EC"/>
    <w:rsid w:val="00AF558A"/>
    <w:rsid w:val="00C02C05"/>
    <w:rsid w:val="00C606CF"/>
    <w:rsid w:val="00D65BD0"/>
    <w:rsid w:val="00F17889"/>
    <w:rsid w:val="00F26CEA"/>
    <w:rsid w:val="00F76A6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E7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6E7B0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E7B0E"/>
  </w:style>
  <w:style w:type="character" w:styleId="Textoennegrita">
    <w:name w:val="Strong"/>
    <w:basedOn w:val="Fuentedeprrafopredeter"/>
    <w:uiPriority w:val="22"/>
    <w:qFormat/>
    <w:locked/>
    <w:rsid w:val="006E7B0E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6E7B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E7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6E7B0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E7B0E"/>
  </w:style>
  <w:style w:type="character" w:styleId="Textoennegrita">
    <w:name w:val="Strong"/>
    <w:basedOn w:val="Fuentedeprrafopredeter"/>
    <w:uiPriority w:val="22"/>
    <w:qFormat/>
    <w:locked/>
    <w:rsid w:val="006E7B0E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6E7B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e.es/boe/dias/2015/03/31/pdfs/BOE-A-2015-344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e.es/boe/dias/2015/03/31/pdfs/BOE-A-2015-3439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8B97-2BB3-4DCC-915B-C5FF9020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Usuari</cp:lastModifiedBy>
  <cp:revision>2</cp:revision>
  <cp:lastPrinted>2013-03-18T13:04:00Z</cp:lastPrinted>
  <dcterms:created xsi:type="dcterms:W3CDTF">2015-05-09T17:24:00Z</dcterms:created>
  <dcterms:modified xsi:type="dcterms:W3CDTF">2015-05-09T17:24:00Z</dcterms:modified>
</cp:coreProperties>
</file>