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7C" w:rsidRPr="0063497C" w:rsidRDefault="00F474B7" w:rsidP="0063497C">
      <w:pPr>
        <w:shd w:val="clear" w:color="auto" w:fill="FFFFFF"/>
        <w:spacing w:after="210" w:line="480" w:lineRule="atLeast"/>
        <w:textAlignment w:val="baseline"/>
        <w:outlineLvl w:val="0"/>
        <w:rPr>
          <w:rFonts w:ascii="Helvetica" w:eastAsia="Times New Roman" w:hAnsi="Helvetica" w:cs="Helvetica"/>
          <w:color w:val="01446E"/>
          <w:kern w:val="36"/>
          <w:sz w:val="44"/>
          <w:szCs w:val="44"/>
          <w:lang w:eastAsia="ca-ES"/>
        </w:rPr>
      </w:pPr>
      <w:r>
        <w:rPr>
          <w:rFonts w:ascii="Helvetica" w:eastAsia="Times New Roman" w:hAnsi="Helvetica" w:cs="Helvetica"/>
          <w:color w:val="01446E"/>
          <w:kern w:val="36"/>
          <w:sz w:val="44"/>
          <w:szCs w:val="44"/>
          <w:lang w:eastAsia="ca-ES"/>
        </w:rPr>
        <w:t>L</w:t>
      </w:r>
      <w:r w:rsidR="0063497C" w:rsidRPr="0063497C">
        <w:rPr>
          <w:rFonts w:ascii="Helvetica" w:eastAsia="Times New Roman" w:hAnsi="Helvetica" w:cs="Helvetica"/>
          <w:color w:val="01446E"/>
          <w:kern w:val="36"/>
          <w:sz w:val="44"/>
          <w:szCs w:val="44"/>
          <w:lang w:eastAsia="ca-ES"/>
        </w:rPr>
        <w:t>as pautas ante la entrada en vigor de la reforma del Código Penal</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La fiscal General del Estado, Consuelo Madrigal, ha remitido una Circular a todas las Fiscalías españolas ante la entrada en vigor de la reforma del Código Penal.</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Tras esta reforma legal, y de acuerdo al principio de intervención mínima del derecho penal, una parte de las infracciones leves queda despenalizada y serán sancionadas en la vía administrativa o civil, y el resto quedan incluidas en el Código Penal bajo la forma de delitos leves, que quedan asimilados a las características del juicio de faltas.</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La novedad que supone la introducción de principio de oportunidad reglada y la necesidad de determinar en cada caso si se trata o no de un delito leve, ha motivado que la Fiscalía General del Estado  envíe una Circular para que los fiscales dispongan de pautas claras de actuación.</w:t>
      </w:r>
    </w:p>
    <w:p w:rsidR="0063497C" w:rsidRPr="0063497C" w:rsidRDefault="0063497C" w:rsidP="00F474B7">
      <w:pPr>
        <w:shd w:val="clear" w:color="auto" w:fill="FFFFFF"/>
        <w:spacing w:after="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Acceda a la</w:t>
      </w:r>
      <w:r w:rsidRPr="00F474B7">
        <w:rPr>
          <w:rFonts w:ascii="Arial" w:eastAsia="Times New Roman" w:hAnsi="Arial" w:cs="Arial"/>
          <w:color w:val="333333"/>
          <w:sz w:val="18"/>
          <w:szCs w:val="18"/>
          <w:lang w:eastAsia="ca-ES"/>
        </w:rPr>
        <w:t> </w:t>
      </w:r>
      <w:hyperlink r:id="rId8" w:history="1">
        <w:r w:rsidRPr="00F474B7">
          <w:rPr>
            <w:rFonts w:ascii="Arial" w:eastAsia="Times New Roman" w:hAnsi="Arial" w:cs="Arial"/>
            <w:b/>
            <w:bCs/>
            <w:color w:val="01446E"/>
            <w:sz w:val="18"/>
            <w:szCs w:val="18"/>
            <w:bdr w:val="none" w:sz="0" w:space="0" w:color="auto" w:frame="1"/>
            <w:lang w:eastAsia="ca-ES"/>
          </w:rPr>
          <w:t>Circular 1/2015, sobre pautas para el ejercicio de la acción penal en relación con los delitos leves tras la reforma penal operada por la LO 1/2015</w:t>
        </w:r>
      </w:hyperlink>
    </w:p>
    <w:p w:rsidR="0063497C" w:rsidRPr="0063497C" w:rsidRDefault="0063497C" w:rsidP="00F474B7">
      <w:pPr>
        <w:shd w:val="clear" w:color="auto" w:fill="FFFFFF"/>
        <w:spacing w:after="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La Circular, de 50 páginas,  sintetiza su contenido en las siguientes conclusiones en relación con el ejercicio de la acción penal por parte del Ministerio Público para la persecución de delitos leves</w:t>
      </w:r>
      <w:hyperlink r:id="rId9" w:history="1">
        <w:r w:rsidRPr="00F474B7">
          <w:rPr>
            <w:rFonts w:ascii="Arial" w:eastAsia="Times New Roman" w:hAnsi="Arial" w:cs="Arial"/>
            <w:color w:val="01446E"/>
            <w:sz w:val="18"/>
            <w:szCs w:val="18"/>
            <w:lang w:eastAsia="ca-ES"/>
          </w:rPr>
          <w:t>:</w:t>
        </w:r>
      </w:hyperlink>
    </w:p>
    <w:p w:rsidR="0063497C" w:rsidRPr="0063497C" w:rsidRDefault="0063497C" w:rsidP="00F474B7">
      <w:pPr>
        <w:shd w:val="clear" w:color="auto" w:fill="FFFFFF"/>
        <w:spacing w:after="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1ª.- </w:t>
      </w:r>
      <w:r w:rsidRPr="00F474B7">
        <w:rPr>
          <w:rFonts w:ascii="Arial" w:eastAsia="Times New Roman" w:hAnsi="Arial" w:cs="Arial"/>
          <w:b/>
          <w:bCs/>
          <w:color w:val="333333"/>
          <w:sz w:val="18"/>
          <w:szCs w:val="18"/>
          <w:bdr w:val="none" w:sz="0" w:space="0" w:color="auto" w:frame="1"/>
          <w:lang w:eastAsia="ca-ES"/>
        </w:rPr>
        <w:t>Es delito leve</w:t>
      </w:r>
      <w:r w:rsidRPr="0063497C">
        <w:rPr>
          <w:rFonts w:ascii="Arial" w:eastAsia="Times New Roman" w:hAnsi="Arial" w:cs="Arial"/>
          <w:color w:val="333333"/>
          <w:sz w:val="18"/>
          <w:szCs w:val="18"/>
          <w:lang w:eastAsia="ca-ES"/>
        </w:rPr>
        <w:t> el castigado con pena que ostente rango leve en toda su extensión o en una parte de ella (arts. 13.3 y 4, inciso segundo y 33.4 CP).</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2ª.- El delito que tenga asignadas dos o más penas de imposición conjunta o alternativa sólo es leve si todas cumplen la condición anterio</w:t>
      </w:r>
      <w:r w:rsidR="00F474B7">
        <w:rPr>
          <w:rFonts w:ascii="Arial" w:eastAsia="Times New Roman" w:hAnsi="Arial" w:cs="Arial"/>
          <w:color w:val="333333"/>
          <w:sz w:val="18"/>
          <w:szCs w:val="18"/>
          <w:lang w:eastAsia="ca-ES"/>
        </w:rPr>
        <w:t>r.</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3ª.- En los delitos leves públicos patrimoniales y en los que por afectar a bienes jurídicos personales tienen una o varias víctimas individualizadas, se seguirán las siguientes pautas generales:</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El archivo por razones de oportunidad sólo se solicitará si ninguna víctima denuncia o manifiesta un interés explícito en la persecución del hecho, salvo en aquellos casos en que su postura se pueda estimar infundada, irracional o arbitraria. La mera afirmación de “quedar enterado” del ofrecimiento de acciones no será impedimento para solicitar el archivo.</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Cuando la víctima manifieste en el atestado policial o en el juzgado su deseo de no ser citada a juicio o su voluntad de que el procedimiento no siga adelante, se interesará el archivo por motivos de oportunidad, salvo que subsista un interés público necesitado de tutela conforme a los criterios apuntados en esta Circular.</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No se solicitará el archivo por motivos de oportunidad de los procedimientos incoados por actos de violencia física y psíquica cometidos en el núcleo de convivencia familiar, salvo casos excepcionales.</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No se solicitará el archivo por motivos de oportunidad de los procedimientos incoados por delitos leves de detención ilegal (art. 163.4CP), contra el patrimonio histórico (art. 324 CP), de falsedad documental (arts. 397, 399 y 400 CP), contra la Administración Pública (art. 406 CP) y contra la Administración de Justicia (arts. 456.1.3º, 465.2 y 470.3 CP), salvo casos excepcionales. Tampoco en los delitos leves patrimoniales previstos en los arts. 236, 246, 247, 254, 255 y 256 CP cuando el valor del objeto, ventaja o provecho obtenido por el culpable haya rebasado los 400 euros, ni en el delito de ocupación de inmueble, edificio o vivienda que no constituya morada del art. 245.2 CP.</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4ª.- En los delitos leves que afectan al orden público o a los intereses generales, los Sres. Fiscales, a efectos de decidir sobre el ejercicio de las facultades derivadas del principio de oportunidad, ponderarán los criterios establecidos en la presente Circular, atendiendo especialmente a las circunstancias concurrentes en el autor del hecho, como su edad juvenil, ocasionalidad de la conducta, arrepentimiento mostrado o disposición a reparar el mal causado.</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lastRenderedPageBreak/>
        <w:t>5ª.- Los Sres. Fiscales tendrán a la vista la hoja histórico penal del denunciado antes de emitir el informe de oportunidad.</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6ª.- Los Sres. Fiscales asistirán al enjuiciamiento de los siguientes delitos leves semipúblicos:</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Homicidio por imprudencia menos grave del art. 142.2 CP producido por la circulación de vehículos de motor o ciclomotores, prestación de servicios públicos o privados de transporte colectivo de personas, o en el ámbito laboral, sanitario o profesional.</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Lesiones por imprudencia menos grave del art. 152.2 CP en relación con el art. 149 CP en los casos señalados en el punto anterior.</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Lesiones dolosas del art. 147.2 CP.</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Maltrato de obra del art. 147.3 CP cuando la víctima sea persona vulnerable por razón de edad, enfermedad o discapacidad.</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En cualesquiera otros delitos, siempre que haya sido el propio Fiscal quien haya interpuesto la correspondiente denuncia en nombre de una persona menor de edad, con discapacidad necesitada de especial protección o desvalida al amparo de lo establecido en el art. 105.2 LECrim.</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7ª.- Los Sres. Fiscales se abstendrán de intervenir en el enjuiciamiento de los siguientes delitos leves semipúblicos:</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Lesiones por imprudencia menos grave del art. 152.2 CP en relación con el art. 150 CP.</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Maltrato de obra del art. 147.3 CP, cuando la víctima no sea persona vulnerable por razón de su edad, enfermedad o discapacidad.</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Amenazas y coacciones leves de los arts. 171.7, 1 y 172.3, 1 CP.</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Injurias leves en el ámbito doméstico del art. 173.4 CP.</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 Daños por imprudencia grave del art. 267 CP.</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8ª.- El delito leve de injurias graves hechas sin publicidad del art. 209 CP es un delito privado. La disposición de la acción penal corresponde en exclusiva al ofendido.</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9ª.- El principio de oportunidad es retroactivamente aplicable a las faltas que no hayan sido enjuiciadas antes del día 1 de julio de 2015.</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10ª.- Los juicios de faltas por hechos cometidos antes del 1 de julio de 2015 que hayan quedado despenalizados proseguirán su tramitación en los términos de la Disposición transitoria cuarta LO 1/2015 a los solos efectos de dirimir la acción civil, salvo que el perjudicado renuncie expresamente a ser indemnizado, se reserve las acciones civiles o no exista perjuicio indemnizable, en cuyo caso procederá el archivo del procedimiento.</w:t>
      </w:r>
    </w:p>
    <w:p w:rsidR="0063497C" w:rsidRPr="0063497C" w:rsidRDefault="0063497C" w:rsidP="00F474B7">
      <w:pPr>
        <w:shd w:val="clear" w:color="auto" w:fill="FFFFFF"/>
        <w:spacing w:after="300" w:line="234" w:lineRule="atLeast"/>
        <w:jc w:val="both"/>
        <w:textAlignment w:val="baseline"/>
        <w:rPr>
          <w:rFonts w:ascii="Arial" w:eastAsia="Times New Roman" w:hAnsi="Arial" w:cs="Arial"/>
          <w:color w:val="333333"/>
          <w:sz w:val="18"/>
          <w:szCs w:val="18"/>
          <w:lang w:eastAsia="ca-ES"/>
        </w:rPr>
      </w:pPr>
      <w:r w:rsidRPr="0063497C">
        <w:rPr>
          <w:rFonts w:ascii="Arial" w:eastAsia="Times New Roman" w:hAnsi="Arial" w:cs="Arial"/>
          <w:color w:val="333333"/>
          <w:sz w:val="18"/>
          <w:szCs w:val="18"/>
          <w:lang w:eastAsia="ca-ES"/>
        </w:rPr>
        <w:t>11ª.- Los juicios de faltas por hechos cometidos antes del 1 de julio de 2015 constitutivos de falta de lesiones leves y malos tratos (art. 617.1 y 2 CP) se someterán al régimen transitorio aludido en la conclusión anterior.</w:t>
      </w:r>
      <w:bookmarkStart w:id="0" w:name="_GoBack"/>
      <w:bookmarkEnd w:id="0"/>
    </w:p>
    <w:sectPr w:rsidR="0063497C" w:rsidRPr="0063497C" w:rsidSect="0063497C">
      <w:headerReference w:type="default" r:id="rId10"/>
      <w:footerReference w:type="default" r:id="rId11"/>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15E" w:rsidRDefault="00DA015E" w:rsidP="008C0F92">
      <w:pPr>
        <w:spacing w:after="0" w:line="240" w:lineRule="auto"/>
      </w:pPr>
      <w:r>
        <w:separator/>
      </w:r>
    </w:p>
  </w:endnote>
  <w:endnote w:type="continuationSeparator" w:id="0">
    <w:p w:rsidR="00DA015E" w:rsidRDefault="00DA015E" w:rsidP="008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BA39B7" w:rsidRPr="009703BF" w:rsidTr="00BA39B7">
      <w:trPr>
        <w:cantSplit/>
        <w:trHeight w:val="294"/>
        <w:jc w:val="center"/>
      </w:trPr>
      <w:tc>
        <w:tcPr>
          <w:tcW w:w="636" w:type="dxa"/>
          <w:vMerge w:val="restart"/>
        </w:tcPr>
        <w:p w:rsidR="00873428" w:rsidRPr="009703BF" w:rsidRDefault="003A6B0B" w:rsidP="00BA39B7">
          <w:pPr>
            <w:pStyle w:val="Piedepgina"/>
            <w:tabs>
              <w:tab w:val="clear" w:pos="8504"/>
            </w:tabs>
            <w:rPr>
              <w:rFonts w:ascii="Arial" w:hAnsi="Arial" w:cs="Arial"/>
              <w:b/>
              <w:sz w:val="16"/>
              <w:szCs w:val="16"/>
              <w:lang w:val="ca-ES"/>
            </w:rPr>
          </w:pPr>
          <w:r>
            <w:rPr>
              <w:rFonts w:ascii="Arial" w:hAnsi="Arial" w:cs="Arial"/>
              <w:b/>
              <w:noProof/>
              <w:color w:val="C0C0C0"/>
              <w:sz w:val="16"/>
              <w:szCs w:val="16"/>
              <w:lang w:val="ca-ES" w:eastAsia="ca-ES"/>
            </w:rPr>
            <w:drawing>
              <wp:inline distT="0" distB="0" distL="0" distR="0" wp14:anchorId="2EE42CBC" wp14:editId="0295055D">
                <wp:extent cx="238125" cy="276225"/>
                <wp:effectExtent l="1905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582" w:type="dxa"/>
          <w:vMerge w:val="restart"/>
          <w:vAlign w:val="center"/>
        </w:tcPr>
        <w:p w:rsidR="00873428" w:rsidRPr="009703BF" w:rsidRDefault="00873428" w:rsidP="00F17889">
          <w:pPr>
            <w:pStyle w:val="Piedepgina"/>
            <w:rPr>
              <w:rFonts w:ascii="Arial" w:hAnsi="Arial" w:cs="Arial"/>
              <w:color w:val="808080"/>
              <w:sz w:val="16"/>
              <w:szCs w:val="16"/>
              <w:lang w:val="ca-ES"/>
            </w:rPr>
          </w:pPr>
          <w:r w:rsidRPr="009703BF">
            <w:rPr>
              <w:rFonts w:ascii="Arial" w:hAnsi="Arial" w:cs="Arial"/>
              <w:color w:val="808080"/>
              <w:sz w:val="16"/>
              <w:szCs w:val="16"/>
              <w:lang w:val="ca-ES"/>
            </w:rPr>
            <w:t xml:space="preserve">Generalitat de Catalunya </w:t>
          </w:r>
        </w:p>
        <w:p w:rsidR="00873428" w:rsidRPr="009703BF" w:rsidRDefault="00873428" w:rsidP="00F17889">
          <w:pPr>
            <w:pStyle w:val="Piedepgina"/>
            <w:rPr>
              <w:rFonts w:ascii="Arial" w:hAnsi="Arial" w:cs="Arial"/>
              <w:color w:val="808080"/>
              <w:sz w:val="16"/>
              <w:szCs w:val="16"/>
              <w:lang w:val="ca-ES"/>
            </w:rPr>
          </w:pPr>
          <w:r w:rsidRPr="009703BF">
            <w:rPr>
              <w:rFonts w:ascii="Arial" w:hAnsi="Arial" w:cs="Arial"/>
              <w:color w:val="808080"/>
              <w:sz w:val="16"/>
              <w:szCs w:val="16"/>
              <w:lang w:val="ca-ES"/>
            </w:rPr>
            <w:t>Departament d’Ensenyament</w:t>
          </w:r>
        </w:p>
        <w:p w:rsidR="00873428" w:rsidRPr="009703BF" w:rsidRDefault="00873428" w:rsidP="00F17889">
          <w:pPr>
            <w:pStyle w:val="Piedepgina"/>
            <w:rPr>
              <w:rFonts w:ascii="Arial" w:hAnsi="Arial" w:cs="Arial"/>
              <w:b/>
              <w:color w:val="808080"/>
              <w:sz w:val="16"/>
              <w:szCs w:val="16"/>
              <w:lang w:val="ca-ES"/>
            </w:rPr>
          </w:pPr>
          <w:r w:rsidRPr="009703BF">
            <w:rPr>
              <w:rFonts w:ascii="Arial" w:hAnsi="Arial" w:cs="Arial"/>
              <w:b/>
              <w:color w:val="808080"/>
              <w:sz w:val="16"/>
              <w:szCs w:val="16"/>
              <w:lang w:val="ca-ES"/>
            </w:rPr>
            <w:t>Institut Baix Camp</w:t>
          </w:r>
        </w:p>
      </w:tc>
      <w:tc>
        <w:tcPr>
          <w:tcW w:w="1101" w:type="dxa"/>
          <w:vAlign w:val="center"/>
        </w:tcPr>
        <w:p w:rsidR="00873428" w:rsidRPr="009703BF" w:rsidRDefault="00056A37" w:rsidP="00417B46">
          <w:pPr>
            <w:pStyle w:val="Piedepgina"/>
            <w:jc w:val="center"/>
            <w:rPr>
              <w:rFonts w:ascii="Arial" w:hAnsi="Arial" w:cs="Arial"/>
              <w:color w:val="808080"/>
              <w:sz w:val="16"/>
              <w:szCs w:val="16"/>
              <w:lang w:val="ca-ES"/>
            </w:rPr>
          </w:pPr>
          <w:r>
            <w:rPr>
              <w:rFonts w:ascii="Arial" w:hAnsi="Arial" w:cs="Arial"/>
              <w:color w:val="808080"/>
              <w:sz w:val="16"/>
              <w:szCs w:val="16"/>
              <w:lang w:val="ca-ES"/>
            </w:rPr>
            <w:t>19</w:t>
          </w:r>
          <w:r w:rsidR="00873428" w:rsidRPr="009703BF">
            <w:rPr>
              <w:rFonts w:ascii="Arial" w:hAnsi="Arial" w:cs="Arial"/>
              <w:color w:val="808080"/>
              <w:sz w:val="16"/>
              <w:szCs w:val="16"/>
              <w:lang w:val="ca-ES"/>
            </w:rPr>
            <w:t>/</w:t>
          </w:r>
          <w:r>
            <w:rPr>
              <w:rFonts w:ascii="Arial" w:hAnsi="Arial" w:cs="Arial"/>
              <w:color w:val="808080"/>
              <w:sz w:val="16"/>
              <w:szCs w:val="16"/>
              <w:lang w:val="ca-ES"/>
            </w:rPr>
            <w:t>0</w:t>
          </w:r>
          <w:r w:rsidR="00417B46">
            <w:rPr>
              <w:rFonts w:ascii="Arial" w:hAnsi="Arial" w:cs="Arial"/>
              <w:color w:val="808080"/>
              <w:sz w:val="16"/>
              <w:szCs w:val="16"/>
              <w:lang w:val="ca-ES"/>
            </w:rPr>
            <w:t>5</w:t>
          </w:r>
          <w:r w:rsidR="00873428" w:rsidRPr="009703BF">
            <w:rPr>
              <w:rFonts w:ascii="Arial" w:hAnsi="Arial" w:cs="Arial"/>
              <w:color w:val="808080"/>
              <w:sz w:val="16"/>
              <w:szCs w:val="16"/>
              <w:lang w:val="ca-ES"/>
            </w:rPr>
            <w:t>/2013</w:t>
          </w:r>
        </w:p>
      </w:tc>
      <w:tc>
        <w:tcPr>
          <w:tcW w:w="980" w:type="dxa"/>
          <w:vAlign w:val="center"/>
        </w:tcPr>
        <w:p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Arxiu</w:t>
          </w:r>
        </w:p>
      </w:tc>
      <w:tc>
        <w:tcPr>
          <w:tcW w:w="3004" w:type="dxa"/>
          <w:gridSpan w:val="3"/>
          <w:vAlign w:val="center"/>
        </w:tcPr>
        <w:p w:rsidR="00873428" w:rsidRPr="009703BF" w:rsidRDefault="00056A37" w:rsidP="00056A37">
          <w:pPr>
            <w:pStyle w:val="Piedepgina"/>
            <w:rPr>
              <w:rFonts w:ascii="Arial" w:hAnsi="Arial" w:cs="Arial"/>
              <w:color w:val="808080"/>
              <w:sz w:val="16"/>
              <w:szCs w:val="16"/>
              <w:lang w:val="ca-ES"/>
            </w:rPr>
          </w:pPr>
          <w:r>
            <w:rPr>
              <w:rFonts w:ascii="Arial" w:hAnsi="Arial" w:cs="Arial"/>
              <w:color w:val="808080"/>
              <w:sz w:val="16"/>
              <w:szCs w:val="16"/>
              <w:lang w:val="ca-ES"/>
            </w:rPr>
            <w:t>Model intern</w:t>
          </w:r>
        </w:p>
      </w:tc>
      <w:tc>
        <w:tcPr>
          <w:tcW w:w="1073" w:type="dxa"/>
          <w:vMerge w:val="restart"/>
          <w:vAlign w:val="center"/>
        </w:tcPr>
        <w:p w:rsidR="00873428" w:rsidRPr="009703BF" w:rsidRDefault="002C5355"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PAGE </w:instrText>
          </w:r>
          <w:r w:rsidRPr="009703BF">
            <w:rPr>
              <w:rFonts w:ascii="Arial" w:hAnsi="Arial" w:cs="Arial"/>
              <w:color w:val="808080"/>
              <w:sz w:val="16"/>
              <w:szCs w:val="16"/>
              <w:lang w:val="ca-ES"/>
            </w:rPr>
            <w:fldChar w:fldCharType="separate"/>
          </w:r>
          <w:r w:rsidR="00F474B7">
            <w:rPr>
              <w:rFonts w:ascii="Arial" w:hAnsi="Arial" w:cs="Arial"/>
              <w:noProof/>
              <w:color w:val="808080"/>
              <w:sz w:val="16"/>
              <w:szCs w:val="16"/>
              <w:lang w:val="ca-ES"/>
            </w:rPr>
            <w:t>2</w:t>
          </w:r>
          <w:r w:rsidRPr="009703BF">
            <w:rPr>
              <w:rFonts w:ascii="Arial" w:hAnsi="Arial" w:cs="Arial"/>
              <w:color w:val="808080"/>
              <w:sz w:val="16"/>
              <w:szCs w:val="16"/>
              <w:lang w:val="ca-ES"/>
            </w:rPr>
            <w:fldChar w:fldCharType="end"/>
          </w:r>
          <w:r w:rsidR="00873428" w:rsidRPr="009703BF">
            <w:rPr>
              <w:rFonts w:ascii="Arial" w:hAnsi="Arial" w:cs="Arial"/>
              <w:color w:val="808080"/>
              <w:sz w:val="16"/>
              <w:szCs w:val="16"/>
              <w:lang w:val="ca-ES"/>
            </w:rPr>
            <w:t xml:space="preserve"> de </w:t>
          </w: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NUMPAGES </w:instrText>
          </w:r>
          <w:r w:rsidRPr="009703BF">
            <w:rPr>
              <w:rFonts w:ascii="Arial" w:hAnsi="Arial" w:cs="Arial"/>
              <w:color w:val="808080"/>
              <w:sz w:val="16"/>
              <w:szCs w:val="16"/>
              <w:lang w:val="ca-ES"/>
            </w:rPr>
            <w:fldChar w:fldCharType="separate"/>
          </w:r>
          <w:r w:rsidR="00F474B7">
            <w:rPr>
              <w:rFonts w:ascii="Arial" w:hAnsi="Arial" w:cs="Arial"/>
              <w:noProof/>
              <w:color w:val="808080"/>
              <w:sz w:val="16"/>
              <w:szCs w:val="16"/>
              <w:lang w:val="ca-ES"/>
            </w:rPr>
            <w:t>2</w:t>
          </w:r>
          <w:r w:rsidRPr="009703BF">
            <w:rPr>
              <w:rFonts w:ascii="Arial" w:hAnsi="Arial" w:cs="Arial"/>
              <w:color w:val="808080"/>
              <w:sz w:val="16"/>
              <w:szCs w:val="16"/>
              <w:lang w:val="ca-ES"/>
            </w:rPr>
            <w:fldChar w:fldCharType="end"/>
          </w:r>
        </w:p>
      </w:tc>
    </w:tr>
    <w:tr w:rsidR="00BA39B7" w:rsidRPr="009703BF" w:rsidTr="00BA39B7">
      <w:trPr>
        <w:cantSplit/>
        <w:trHeight w:val="239"/>
        <w:jc w:val="center"/>
      </w:trPr>
      <w:tc>
        <w:tcPr>
          <w:tcW w:w="636" w:type="dxa"/>
          <w:vMerge/>
        </w:tcPr>
        <w:p w:rsidR="00873428" w:rsidRPr="009703BF" w:rsidRDefault="00873428" w:rsidP="00F17889">
          <w:pPr>
            <w:pStyle w:val="Piedepgina"/>
            <w:jc w:val="center"/>
            <w:rPr>
              <w:rFonts w:ascii="Arial" w:hAnsi="Arial" w:cs="Arial"/>
              <w:b/>
              <w:sz w:val="16"/>
              <w:szCs w:val="16"/>
              <w:lang w:val="ca-ES"/>
            </w:rPr>
          </w:pPr>
        </w:p>
      </w:tc>
      <w:tc>
        <w:tcPr>
          <w:tcW w:w="2582" w:type="dxa"/>
          <w:vMerge/>
        </w:tcPr>
        <w:p w:rsidR="00873428" w:rsidRPr="009703BF" w:rsidRDefault="00873428" w:rsidP="00F17889">
          <w:pPr>
            <w:pStyle w:val="Piedepgina"/>
            <w:jc w:val="center"/>
            <w:rPr>
              <w:rFonts w:ascii="Arial" w:hAnsi="Arial" w:cs="Arial"/>
              <w:b/>
              <w:sz w:val="16"/>
              <w:szCs w:val="16"/>
              <w:lang w:val="ca-ES"/>
            </w:rPr>
          </w:pPr>
        </w:p>
      </w:tc>
      <w:tc>
        <w:tcPr>
          <w:tcW w:w="1101" w:type="dxa"/>
          <w:vAlign w:val="center"/>
        </w:tcPr>
        <w:p w:rsidR="00873428" w:rsidRPr="009703BF" w:rsidRDefault="00873428" w:rsidP="00417B46">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 xml:space="preserve">versió  </w:t>
          </w:r>
          <w:r w:rsidR="00417B46">
            <w:rPr>
              <w:rFonts w:ascii="Arial" w:hAnsi="Arial" w:cs="Arial"/>
              <w:color w:val="808080"/>
              <w:sz w:val="16"/>
              <w:szCs w:val="16"/>
              <w:lang w:val="ca-ES"/>
            </w:rPr>
            <w:t>3</w:t>
          </w:r>
        </w:p>
      </w:tc>
      <w:tc>
        <w:tcPr>
          <w:tcW w:w="980" w:type="dxa"/>
          <w:vAlign w:val="center"/>
        </w:tcPr>
        <w:p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Elaborat</w:t>
          </w:r>
        </w:p>
      </w:tc>
      <w:tc>
        <w:tcPr>
          <w:tcW w:w="1230" w:type="dxa"/>
          <w:vAlign w:val="center"/>
        </w:tcPr>
        <w:p w:rsidR="00873428" w:rsidRPr="009703BF" w:rsidRDefault="00056A37" w:rsidP="00056A37">
          <w:pPr>
            <w:pStyle w:val="Piedepgina"/>
            <w:rPr>
              <w:rFonts w:ascii="Arial" w:hAnsi="Arial" w:cs="Arial"/>
              <w:color w:val="808080"/>
              <w:sz w:val="16"/>
              <w:szCs w:val="16"/>
              <w:lang w:val="ca-ES"/>
            </w:rPr>
          </w:pPr>
          <w:r>
            <w:rPr>
              <w:rFonts w:ascii="Arial" w:hAnsi="Arial" w:cs="Arial"/>
              <w:color w:val="808080"/>
              <w:sz w:val="16"/>
              <w:szCs w:val="16"/>
              <w:lang w:val="ca-ES"/>
            </w:rPr>
            <w:t>Cap d'estudis</w:t>
          </w:r>
          <w:r w:rsidR="00873428" w:rsidRPr="009703BF">
            <w:rPr>
              <w:rFonts w:ascii="Arial" w:hAnsi="Arial" w:cs="Arial"/>
              <w:color w:val="808080"/>
              <w:sz w:val="16"/>
              <w:szCs w:val="16"/>
              <w:lang w:val="ca-ES"/>
            </w:rPr>
            <w:t xml:space="preserve"> </w:t>
          </w:r>
        </w:p>
      </w:tc>
      <w:tc>
        <w:tcPr>
          <w:tcW w:w="546" w:type="dxa"/>
          <w:vAlign w:val="center"/>
        </w:tcPr>
        <w:p w:rsidR="00873428" w:rsidRPr="009703BF" w:rsidRDefault="00873428" w:rsidP="00F17889">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Codi</w:t>
          </w:r>
        </w:p>
      </w:tc>
      <w:tc>
        <w:tcPr>
          <w:tcW w:w="1228" w:type="dxa"/>
          <w:vAlign w:val="center"/>
        </w:tcPr>
        <w:p w:rsidR="00873428" w:rsidRPr="009703BF" w:rsidRDefault="00873428" w:rsidP="007A0073">
          <w:pPr>
            <w:pStyle w:val="Piedepgina"/>
            <w:jc w:val="center"/>
            <w:rPr>
              <w:rFonts w:ascii="Arial" w:hAnsi="Arial" w:cs="Arial"/>
              <w:color w:val="808080"/>
              <w:sz w:val="16"/>
              <w:szCs w:val="16"/>
              <w:lang w:val="ca-ES"/>
            </w:rPr>
          </w:pPr>
          <w:r w:rsidRPr="009703BF">
            <w:rPr>
              <w:rFonts w:ascii="Arial" w:hAnsi="Arial" w:cs="Arial"/>
              <w:color w:val="808080"/>
              <w:sz w:val="16"/>
              <w:szCs w:val="16"/>
              <w:lang w:val="ca-ES"/>
            </w:rPr>
            <w:t>MO-CAP</w:t>
          </w:r>
          <w:r w:rsidR="00056A37">
            <w:rPr>
              <w:rFonts w:ascii="Arial" w:hAnsi="Arial" w:cs="Arial"/>
              <w:color w:val="808080"/>
              <w:sz w:val="16"/>
              <w:szCs w:val="16"/>
              <w:lang w:val="ca-ES"/>
            </w:rPr>
            <w:t>0</w:t>
          </w:r>
          <w:r w:rsidR="007A0073">
            <w:rPr>
              <w:rFonts w:ascii="Arial" w:hAnsi="Arial" w:cs="Arial"/>
              <w:color w:val="808080"/>
              <w:sz w:val="16"/>
              <w:szCs w:val="16"/>
              <w:lang w:val="ca-ES"/>
            </w:rPr>
            <w:t>13</w:t>
          </w:r>
        </w:p>
      </w:tc>
      <w:tc>
        <w:tcPr>
          <w:tcW w:w="1073" w:type="dxa"/>
          <w:vMerge/>
        </w:tcPr>
        <w:p w:rsidR="00873428" w:rsidRPr="009703BF" w:rsidRDefault="00873428" w:rsidP="00F17889">
          <w:pPr>
            <w:pStyle w:val="Piedepgina"/>
            <w:jc w:val="center"/>
            <w:rPr>
              <w:rFonts w:ascii="Arial" w:hAnsi="Arial" w:cs="Arial"/>
              <w:b/>
              <w:sz w:val="16"/>
              <w:szCs w:val="16"/>
              <w:lang w:val="ca-ES"/>
            </w:rPr>
          </w:pPr>
        </w:p>
      </w:tc>
    </w:tr>
  </w:tbl>
  <w:p w:rsidR="00873428" w:rsidRDefault="008734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15E" w:rsidRDefault="00DA015E" w:rsidP="008C0F92">
      <w:pPr>
        <w:spacing w:after="0" w:line="240" w:lineRule="auto"/>
      </w:pPr>
      <w:r>
        <w:separator/>
      </w:r>
    </w:p>
  </w:footnote>
  <w:footnote w:type="continuationSeparator" w:id="0">
    <w:p w:rsidR="00DA015E" w:rsidRDefault="00DA015E" w:rsidP="008C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8253"/>
    </w:tblGrid>
    <w:tr w:rsidR="007F4C93" w:rsidTr="007F4C93">
      <w:tc>
        <w:tcPr>
          <w:tcW w:w="1101" w:type="dxa"/>
        </w:tcPr>
        <w:p w:rsidR="007F4C93" w:rsidRDefault="007F4C93" w:rsidP="007F4C93">
          <w:pPr>
            <w:pStyle w:val="Encabezado"/>
            <w:rPr>
              <w:rFonts w:ascii="Arial" w:hAnsi="Arial" w:cs="Arial"/>
              <w:noProof/>
              <w:lang w:eastAsia="es-ES"/>
            </w:rPr>
          </w:pPr>
          <w:r w:rsidRPr="00056A37">
            <w:rPr>
              <w:rFonts w:ascii="Arial" w:hAnsi="Arial" w:cs="Arial"/>
              <w:noProof/>
              <w:lang w:val="ca-ES" w:eastAsia="ca-ES"/>
            </w:rPr>
            <w:drawing>
              <wp:inline distT="0" distB="0" distL="0" distR="0" wp14:anchorId="1D18C86F" wp14:editId="5ACE140D">
                <wp:extent cx="704850" cy="704850"/>
                <wp:effectExtent l="0" t="0" r="0" b="0"/>
                <wp:docPr id="17" name="Imagen 1"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nsti_definitiu_fons_transparent_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tc>
      <w:tc>
        <w:tcPr>
          <w:tcW w:w="8253" w:type="dxa"/>
        </w:tcPr>
        <w:p w:rsidR="007F4C93" w:rsidRDefault="007F4C93" w:rsidP="007F4C93">
          <w:pPr>
            <w:pStyle w:val="Encabezado"/>
            <w:jc w:val="right"/>
            <w:rPr>
              <w:rFonts w:ascii="Arial" w:eastAsia="Arial" w:hAnsi="Arial" w:cs="Arial"/>
              <w:kern w:val="2"/>
              <w:sz w:val="18"/>
              <w:lang w:val="es-ES_tradnl" w:eastAsia="ar-SA"/>
            </w:rPr>
          </w:pPr>
        </w:p>
        <w:p w:rsidR="0063497C" w:rsidRDefault="0063497C" w:rsidP="00F474B7">
          <w:pPr>
            <w:pStyle w:val="Encabezado"/>
            <w:jc w:val="center"/>
            <w:rPr>
              <w:rFonts w:ascii="Arial" w:eastAsia="Arial" w:hAnsi="Arial" w:cs="Arial"/>
              <w:kern w:val="2"/>
              <w:sz w:val="18"/>
              <w:lang w:val="es-ES_tradnl" w:eastAsia="ar-SA"/>
            </w:rPr>
          </w:pPr>
          <w:r>
            <w:rPr>
              <w:rFonts w:ascii="Arial" w:eastAsia="Arial" w:hAnsi="Arial" w:cs="Arial"/>
              <w:kern w:val="2"/>
              <w:sz w:val="18"/>
              <w:lang w:val="es-ES_tradnl" w:eastAsia="ar-SA"/>
            </w:rPr>
            <w:t>MÒDUL 22. M.P. 15.  TRAMITACIÓ PROCESSAL I AUXILI JUDICIAL</w:t>
          </w:r>
        </w:p>
        <w:p w:rsidR="00F474B7" w:rsidRDefault="00F474B7" w:rsidP="00F474B7">
          <w:pPr>
            <w:pStyle w:val="Encabezado"/>
            <w:jc w:val="center"/>
            <w:rPr>
              <w:rFonts w:ascii="Arial" w:hAnsi="Arial" w:cs="Arial"/>
              <w:noProof/>
              <w:lang w:eastAsia="es-ES"/>
            </w:rPr>
          </w:pPr>
          <w:r>
            <w:rPr>
              <w:rFonts w:ascii="Arial" w:eastAsia="Arial" w:hAnsi="Arial" w:cs="Arial"/>
              <w:kern w:val="2"/>
              <w:sz w:val="18"/>
              <w:lang w:val="es-ES_tradnl" w:eastAsia="ar-SA"/>
            </w:rPr>
            <w:t>UF 2 NF4 DELICTES LLEUS</w:t>
          </w:r>
        </w:p>
      </w:tc>
    </w:tr>
  </w:tbl>
  <w:p w:rsidR="00873428" w:rsidRDefault="008734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EC"/>
    <w:rsid w:val="000060BF"/>
    <w:rsid w:val="00053B1E"/>
    <w:rsid w:val="00056A37"/>
    <w:rsid w:val="00090750"/>
    <w:rsid w:val="000B11AF"/>
    <w:rsid w:val="002C5355"/>
    <w:rsid w:val="003A6B0B"/>
    <w:rsid w:val="003B71AF"/>
    <w:rsid w:val="00417B46"/>
    <w:rsid w:val="0060585B"/>
    <w:rsid w:val="0063497C"/>
    <w:rsid w:val="00663C2F"/>
    <w:rsid w:val="007213C5"/>
    <w:rsid w:val="00722F65"/>
    <w:rsid w:val="0076322B"/>
    <w:rsid w:val="007A0073"/>
    <w:rsid w:val="007F4C93"/>
    <w:rsid w:val="00873428"/>
    <w:rsid w:val="008C0F92"/>
    <w:rsid w:val="009703BF"/>
    <w:rsid w:val="00971335"/>
    <w:rsid w:val="009D50A3"/>
    <w:rsid w:val="009E1C17"/>
    <w:rsid w:val="00A93870"/>
    <w:rsid w:val="00A959EC"/>
    <w:rsid w:val="00AF558A"/>
    <w:rsid w:val="00BA39B7"/>
    <w:rsid w:val="00C02C05"/>
    <w:rsid w:val="00C606CF"/>
    <w:rsid w:val="00DA015E"/>
    <w:rsid w:val="00F17889"/>
    <w:rsid w:val="00F26CEA"/>
    <w:rsid w:val="00F474B7"/>
    <w:rsid w:val="00F76A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17"/>
    <w:pPr>
      <w:spacing w:after="200" w:line="276" w:lineRule="auto"/>
    </w:pPr>
    <w:rPr>
      <w:lang w:eastAsia="en-US"/>
    </w:rPr>
  </w:style>
  <w:style w:type="paragraph" w:styleId="Ttulo1">
    <w:name w:val="heading 1"/>
    <w:basedOn w:val="Normal"/>
    <w:link w:val="Ttulo1Car"/>
    <w:uiPriority w:val="9"/>
    <w:qFormat/>
    <w:locked/>
    <w:rsid w:val="0063497C"/>
    <w:pPr>
      <w:spacing w:before="100" w:beforeAutospacing="1" w:after="100" w:afterAutospacing="1" w:line="240" w:lineRule="auto"/>
      <w:outlineLvl w:val="0"/>
    </w:pPr>
    <w:rPr>
      <w:rFonts w:ascii="Times New Roman" w:eastAsia="Times New Roman" w:hAnsi="Times New Roman"/>
      <w:b/>
      <w:bCs/>
      <w:kern w:val="36"/>
      <w:sz w:val="48"/>
      <w:szCs w:val="48"/>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8C0F92"/>
    <w:rPr>
      <w:rFonts w:cs="Times New Roman"/>
      <w:color w:val="808080"/>
    </w:rPr>
  </w:style>
  <w:style w:type="paragraph" w:styleId="Textodeglobo">
    <w:name w:val="Balloon Text"/>
    <w:basedOn w:val="Normal"/>
    <w:link w:val="TextodegloboCar"/>
    <w:uiPriority w:val="99"/>
    <w:semiHidden/>
    <w:rsid w:val="008C0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F92"/>
    <w:rPr>
      <w:rFonts w:ascii="Tahoma" w:hAnsi="Tahoma" w:cs="Tahoma"/>
      <w:sz w:val="16"/>
      <w:szCs w:val="16"/>
    </w:rPr>
  </w:style>
  <w:style w:type="paragraph" w:styleId="Encabezado">
    <w:name w:val="header"/>
    <w:basedOn w:val="Normal"/>
    <w:link w:val="EncabezadoCar"/>
    <w:uiPriority w:val="99"/>
    <w:rsid w:val="008C0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C0F92"/>
    <w:rPr>
      <w:rFonts w:cs="Times New Roman"/>
    </w:rPr>
  </w:style>
  <w:style w:type="paragraph" w:styleId="Piedepgina">
    <w:name w:val="footer"/>
    <w:basedOn w:val="Normal"/>
    <w:link w:val="PiedepginaCar"/>
    <w:uiPriority w:val="99"/>
    <w:rsid w:val="008C0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C0F92"/>
    <w:rPr>
      <w:rFonts w:cs="Times New Roman"/>
    </w:rPr>
  </w:style>
  <w:style w:type="character" w:customStyle="1" w:styleId="Ttulo1Car">
    <w:name w:val="Título 1 Car"/>
    <w:basedOn w:val="Fuentedeprrafopredeter"/>
    <w:link w:val="Ttulo1"/>
    <w:uiPriority w:val="9"/>
    <w:rsid w:val="0063497C"/>
    <w:rPr>
      <w:rFonts w:ascii="Times New Roman" w:eastAsia="Times New Roman" w:hAnsi="Times New Roman"/>
      <w:b/>
      <w:bCs/>
      <w:kern w:val="36"/>
      <w:sz w:val="48"/>
      <w:szCs w:val="48"/>
      <w:lang w:val="ca-ES" w:eastAsia="ca-ES"/>
    </w:rPr>
  </w:style>
  <w:style w:type="paragraph" w:styleId="NormalWeb">
    <w:name w:val="Normal (Web)"/>
    <w:basedOn w:val="Normal"/>
    <w:uiPriority w:val="99"/>
    <w:semiHidden/>
    <w:unhideWhenUsed/>
    <w:rsid w:val="0063497C"/>
    <w:pPr>
      <w:spacing w:before="100" w:beforeAutospacing="1" w:after="100" w:afterAutospacing="1" w:line="240" w:lineRule="auto"/>
    </w:pPr>
    <w:rPr>
      <w:rFonts w:ascii="Times New Roman" w:eastAsia="Times New Roman" w:hAnsi="Times New Roman"/>
      <w:sz w:val="24"/>
      <w:szCs w:val="24"/>
      <w:lang w:val="ca-ES" w:eastAsia="ca-ES"/>
    </w:rPr>
  </w:style>
  <w:style w:type="character" w:customStyle="1" w:styleId="apple-converted-space">
    <w:name w:val="apple-converted-space"/>
    <w:basedOn w:val="Fuentedeprrafopredeter"/>
    <w:rsid w:val="0063497C"/>
  </w:style>
  <w:style w:type="character" w:styleId="Textoennegrita">
    <w:name w:val="Strong"/>
    <w:basedOn w:val="Fuentedeprrafopredeter"/>
    <w:uiPriority w:val="22"/>
    <w:qFormat/>
    <w:locked/>
    <w:rsid w:val="0063497C"/>
    <w:rPr>
      <w:b/>
      <w:bCs/>
    </w:rPr>
  </w:style>
  <w:style w:type="character" w:styleId="Hipervnculo">
    <w:name w:val="Hyperlink"/>
    <w:basedOn w:val="Fuentedeprrafopredeter"/>
    <w:uiPriority w:val="99"/>
    <w:semiHidden/>
    <w:unhideWhenUsed/>
    <w:rsid w:val="006349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17"/>
    <w:pPr>
      <w:spacing w:after="200" w:line="276" w:lineRule="auto"/>
    </w:pPr>
    <w:rPr>
      <w:lang w:eastAsia="en-US"/>
    </w:rPr>
  </w:style>
  <w:style w:type="paragraph" w:styleId="Ttulo1">
    <w:name w:val="heading 1"/>
    <w:basedOn w:val="Normal"/>
    <w:link w:val="Ttulo1Car"/>
    <w:uiPriority w:val="9"/>
    <w:qFormat/>
    <w:locked/>
    <w:rsid w:val="0063497C"/>
    <w:pPr>
      <w:spacing w:before="100" w:beforeAutospacing="1" w:after="100" w:afterAutospacing="1" w:line="240" w:lineRule="auto"/>
      <w:outlineLvl w:val="0"/>
    </w:pPr>
    <w:rPr>
      <w:rFonts w:ascii="Times New Roman" w:eastAsia="Times New Roman" w:hAnsi="Times New Roman"/>
      <w:b/>
      <w:bCs/>
      <w:kern w:val="36"/>
      <w:sz w:val="48"/>
      <w:szCs w:val="48"/>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8C0F92"/>
    <w:rPr>
      <w:rFonts w:cs="Times New Roman"/>
      <w:color w:val="808080"/>
    </w:rPr>
  </w:style>
  <w:style w:type="paragraph" w:styleId="Textodeglobo">
    <w:name w:val="Balloon Text"/>
    <w:basedOn w:val="Normal"/>
    <w:link w:val="TextodegloboCar"/>
    <w:uiPriority w:val="99"/>
    <w:semiHidden/>
    <w:rsid w:val="008C0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F92"/>
    <w:rPr>
      <w:rFonts w:ascii="Tahoma" w:hAnsi="Tahoma" w:cs="Tahoma"/>
      <w:sz w:val="16"/>
      <w:szCs w:val="16"/>
    </w:rPr>
  </w:style>
  <w:style w:type="paragraph" w:styleId="Encabezado">
    <w:name w:val="header"/>
    <w:basedOn w:val="Normal"/>
    <w:link w:val="EncabezadoCar"/>
    <w:uiPriority w:val="99"/>
    <w:rsid w:val="008C0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C0F92"/>
    <w:rPr>
      <w:rFonts w:cs="Times New Roman"/>
    </w:rPr>
  </w:style>
  <w:style w:type="paragraph" w:styleId="Piedepgina">
    <w:name w:val="footer"/>
    <w:basedOn w:val="Normal"/>
    <w:link w:val="PiedepginaCar"/>
    <w:uiPriority w:val="99"/>
    <w:rsid w:val="008C0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C0F92"/>
    <w:rPr>
      <w:rFonts w:cs="Times New Roman"/>
    </w:rPr>
  </w:style>
  <w:style w:type="character" w:customStyle="1" w:styleId="Ttulo1Car">
    <w:name w:val="Título 1 Car"/>
    <w:basedOn w:val="Fuentedeprrafopredeter"/>
    <w:link w:val="Ttulo1"/>
    <w:uiPriority w:val="9"/>
    <w:rsid w:val="0063497C"/>
    <w:rPr>
      <w:rFonts w:ascii="Times New Roman" w:eastAsia="Times New Roman" w:hAnsi="Times New Roman"/>
      <w:b/>
      <w:bCs/>
      <w:kern w:val="36"/>
      <w:sz w:val="48"/>
      <w:szCs w:val="48"/>
      <w:lang w:val="ca-ES" w:eastAsia="ca-ES"/>
    </w:rPr>
  </w:style>
  <w:style w:type="paragraph" w:styleId="NormalWeb">
    <w:name w:val="Normal (Web)"/>
    <w:basedOn w:val="Normal"/>
    <w:uiPriority w:val="99"/>
    <w:semiHidden/>
    <w:unhideWhenUsed/>
    <w:rsid w:val="0063497C"/>
    <w:pPr>
      <w:spacing w:before="100" w:beforeAutospacing="1" w:after="100" w:afterAutospacing="1" w:line="240" w:lineRule="auto"/>
    </w:pPr>
    <w:rPr>
      <w:rFonts w:ascii="Times New Roman" w:eastAsia="Times New Roman" w:hAnsi="Times New Roman"/>
      <w:sz w:val="24"/>
      <w:szCs w:val="24"/>
      <w:lang w:val="ca-ES" w:eastAsia="ca-ES"/>
    </w:rPr>
  </w:style>
  <w:style w:type="character" w:customStyle="1" w:styleId="apple-converted-space">
    <w:name w:val="apple-converted-space"/>
    <w:basedOn w:val="Fuentedeprrafopredeter"/>
    <w:rsid w:val="0063497C"/>
  </w:style>
  <w:style w:type="character" w:styleId="Textoennegrita">
    <w:name w:val="Strong"/>
    <w:basedOn w:val="Fuentedeprrafopredeter"/>
    <w:uiPriority w:val="22"/>
    <w:qFormat/>
    <w:locked/>
    <w:rsid w:val="0063497C"/>
    <w:rPr>
      <w:b/>
      <w:bCs/>
    </w:rPr>
  </w:style>
  <w:style w:type="character" w:styleId="Hipervnculo">
    <w:name w:val="Hyperlink"/>
    <w:basedOn w:val="Fuentedeprrafopredeter"/>
    <w:uiPriority w:val="99"/>
    <w:semiHidden/>
    <w:unhideWhenUsed/>
    <w:rsid w:val="00634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0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ogacia.es/wp-content/uploads/2015/06/Circular-Fiscalia-General-del-Estado-1-15-delitos-leves-Reforma-CP.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ogacia.es/wp-content/uploads/2015/06/Circular-Fiscalia-General-del-Estado-1-15-delitos-leves-Reforma-C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E58D1-31D4-44A8-9B2A-A89B539F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2</cp:revision>
  <cp:lastPrinted>2013-03-18T13:04:00Z</cp:lastPrinted>
  <dcterms:created xsi:type="dcterms:W3CDTF">2017-03-16T18:44:00Z</dcterms:created>
  <dcterms:modified xsi:type="dcterms:W3CDTF">2017-03-16T18:44:00Z</dcterms:modified>
</cp:coreProperties>
</file>