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505" w:type="dxa"/>
        <w:tblLayout w:type="fixed"/>
        <w:tblLook w:val="04A0" w:firstRow="1" w:lastRow="0" w:firstColumn="1" w:lastColumn="0" w:noHBand="0" w:noVBand="1"/>
      </w:tblPr>
      <w:tblGrid>
        <w:gridCol w:w="1846"/>
        <w:gridCol w:w="6659"/>
      </w:tblGrid>
      <w:tr w:rsidR="00F81BEE" w14:paraId="5FD34D6D" w14:textId="77777777">
        <w:tc>
          <w:tcPr>
            <w:tcW w:w="1846" w:type="dxa"/>
            <w:tcBorders>
              <w:top w:val="nil"/>
              <w:left w:val="nil"/>
              <w:bottom w:val="nil"/>
              <w:right w:val="nil"/>
            </w:tcBorders>
          </w:tcPr>
          <w:p w14:paraId="26620F11" w14:textId="77777777" w:rsidR="00F81BEE" w:rsidRDefault="00000000">
            <w:pPr>
              <w:pStyle w:val="Encabezado"/>
              <w:rPr>
                <w:rFonts w:ascii="Arial" w:hAnsi="Arial" w:cs="Arial"/>
              </w:rPr>
            </w:pPr>
            <w:r>
              <w:rPr>
                <w:noProof/>
                <w:sz w:val="20"/>
                <w:szCs w:val="20"/>
                <w:lang w:eastAsia="es-ES"/>
              </w:rPr>
              <w:drawing>
                <wp:inline distT="0" distB="0" distL="0" distR="0" wp14:anchorId="0D47A0EF" wp14:editId="0FF5A7E6">
                  <wp:extent cx="1035050" cy="1098550"/>
                  <wp:effectExtent l="0" t="0" r="0" b="0"/>
                  <wp:docPr id="1" name="Imagen 1"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_insti_definitiu_fons_transparent_PETIT"/>
                          <pic:cNvPicPr>
                            <a:picLocks noChangeAspect="1" noChangeArrowheads="1"/>
                          </pic:cNvPicPr>
                        </pic:nvPicPr>
                        <pic:blipFill>
                          <a:blip r:embed="rId4"/>
                          <a:stretch>
                            <a:fillRect/>
                          </a:stretch>
                        </pic:blipFill>
                        <pic:spPr bwMode="auto">
                          <a:xfrm>
                            <a:off x="0" y="0"/>
                            <a:ext cx="1035050" cy="1098550"/>
                          </a:xfrm>
                          <a:prstGeom prst="rect">
                            <a:avLst/>
                          </a:prstGeom>
                        </pic:spPr>
                      </pic:pic>
                    </a:graphicData>
                  </a:graphic>
                </wp:inline>
              </w:drawing>
            </w:r>
          </w:p>
        </w:tc>
        <w:tc>
          <w:tcPr>
            <w:tcW w:w="6658" w:type="dxa"/>
            <w:tcBorders>
              <w:top w:val="nil"/>
              <w:left w:val="nil"/>
              <w:bottom w:val="nil"/>
              <w:right w:val="nil"/>
            </w:tcBorders>
          </w:tcPr>
          <w:p w14:paraId="1AE8CE01" w14:textId="77777777" w:rsidR="00F81BEE" w:rsidRDefault="00F81BEE">
            <w:pPr>
              <w:pStyle w:val="Encabezado"/>
              <w:jc w:val="right"/>
              <w:rPr>
                <w:rFonts w:ascii="Arial" w:hAnsi="Arial" w:cs="Arial"/>
                <w:b/>
              </w:rPr>
            </w:pPr>
          </w:p>
          <w:p w14:paraId="7033B322" w14:textId="77777777" w:rsidR="00F81BEE" w:rsidRDefault="00F81BEE">
            <w:pPr>
              <w:pStyle w:val="Encabezado"/>
              <w:jc w:val="right"/>
              <w:rPr>
                <w:rFonts w:ascii="Arial" w:hAnsi="Arial" w:cs="Arial"/>
                <w:b/>
              </w:rPr>
            </w:pPr>
          </w:p>
          <w:p w14:paraId="0A6C1717" w14:textId="77777777" w:rsidR="00F81BEE" w:rsidRDefault="00F81BEE">
            <w:pPr>
              <w:pStyle w:val="Encabezado"/>
              <w:jc w:val="right"/>
              <w:rPr>
                <w:rFonts w:ascii="Arial" w:hAnsi="Arial" w:cs="Arial"/>
                <w:b/>
              </w:rPr>
            </w:pPr>
          </w:p>
          <w:p w14:paraId="6FBE8B05" w14:textId="77777777" w:rsidR="00F81BEE" w:rsidRDefault="00000000">
            <w:pPr>
              <w:pStyle w:val="Encabezado"/>
              <w:jc w:val="right"/>
              <w:rPr>
                <w:rFonts w:ascii="Arial" w:hAnsi="Arial" w:cs="Arial"/>
                <w:b/>
                <w:color w:val="808080" w:themeColor="background1" w:themeShade="80"/>
                <w:lang w:val="fr-FR"/>
              </w:rPr>
            </w:pPr>
            <w:r>
              <w:rPr>
                <w:rFonts w:ascii="Arial" w:hAnsi="Arial" w:cs="Arial"/>
                <w:b/>
                <w:color w:val="808080" w:themeColor="background1" w:themeShade="80"/>
                <w:sz w:val="20"/>
                <w:szCs w:val="20"/>
                <w:lang w:val="fr-FR" w:eastAsia="es-ES"/>
              </w:rPr>
              <w:t>CFGM CURES AUXILIARS D’INFERMERIA</w:t>
            </w:r>
          </w:p>
          <w:p w14:paraId="7BE82B76" w14:textId="77777777" w:rsidR="00F81BEE" w:rsidRDefault="00000000">
            <w:pPr>
              <w:pStyle w:val="Encabezado"/>
              <w:jc w:val="right"/>
              <w:rPr>
                <w:rFonts w:ascii="Arial" w:hAnsi="Arial" w:cs="Arial"/>
                <w:b/>
                <w:color w:val="808080" w:themeColor="background1" w:themeShade="80"/>
                <w:lang w:val="fr-FR"/>
              </w:rPr>
            </w:pPr>
            <w:r>
              <w:rPr>
                <w:rFonts w:ascii="Arial" w:hAnsi="Arial" w:cs="Arial"/>
                <w:b/>
                <w:color w:val="808080" w:themeColor="background1" w:themeShade="80"/>
                <w:sz w:val="20"/>
                <w:szCs w:val="20"/>
                <w:lang w:val="fr-FR" w:eastAsia="es-ES"/>
              </w:rPr>
              <w:t>CRÈDIT 4 BLOC 1</w:t>
            </w:r>
          </w:p>
          <w:p w14:paraId="14D83665" w14:textId="77777777" w:rsidR="00F81BEE" w:rsidRDefault="00000000">
            <w:pPr>
              <w:pStyle w:val="Encabezado"/>
              <w:jc w:val="right"/>
              <w:rPr>
                <w:rFonts w:ascii="Arial" w:hAnsi="Arial" w:cs="Arial"/>
                <w:b/>
                <w:color w:val="808080" w:themeColor="background1" w:themeShade="80"/>
              </w:rPr>
            </w:pPr>
            <w:r>
              <w:rPr>
                <w:rFonts w:ascii="Arial" w:hAnsi="Arial" w:cs="Arial"/>
                <w:b/>
                <w:color w:val="808080" w:themeColor="background1" w:themeShade="80"/>
                <w:sz w:val="20"/>
                <w:szCs w:val="20"/>
                <w:lang w:eastAsia="es-ES"/>
              </w:rPr>
              <w:t>UD 1 NA3 PULSIOXIMETRIA</w:t>
            </w:r>
          </w:p>
          <w:p w14:paraId="45AB8327" w14:textId="77777777" w:rsidR="00F81BEE" w:rsidRDefault="00F81BEE">
            <w:pPr>
              <w:pStyle w:val="Encabezado"/>
              <w:jc w:val="right"/>
              <w:rPr>
                <w:rFonts w:ascii="Arial" w:hAnsi="Arial" w:cs="Arial"/>
                <w:b/>
                <w:color w:val="808080" w:themeColor="background1" w:themeShade="80"/>
              </w:rPr>
            </w:pPr>
          </w:p>
        </w:tc>
      </w:tr>
    </w:tbl>
    <w:p w14:paraId="484E3BC5" w14:textId="77777777" w:rsidR="00F81BEE" w:rsidRDefault="00F81BEE">
      <w:pPr>
        <w:spacing w:after="0" w:line="240" w:lineRule="auto"/>
        <w:rPr>
          <w:rFonts w:cstheme="minorHAnsi"/>
          <w:b/>
          <w:bCs/>
          <w:color w:val="000000"/>
          <w:sz w:val="24"/>
          <w:szCs w:val="24"/>
        </w:rPr>
      </w:pPr>
    </w:p>
    <w:p w14:paraId="7C57C0FD" w14:textId="77777777" w:rsidR="00F81BEE" w:rsidRDefault="00F81BEE">
      <w:pPr>
        <w:spacing w:after="0" w:line="240" w:lineRule="auto"/>
        <w:rPr>
          <w:rFonts w:cstheme="minorHAnsi"/>
          <w:b/>
          <w:bCs/>
          <w:color w:val="000000"/>
          <w:sz w:val="24"/>
          <w:szCs w:val="24"/>
          <w:lang w:val="ca-ES"/>
        </w:rPr>
      </w:pPr>
    </w:p>
    <w:p w14:paraId="4D93B49A" w14:textId="77777777" w:rsidR="00F81BEE" w:rsidRDefault="00F81BEE">
      <w:pPr>
        <w:spacing w:after="0" w:line="240" w:lineRule="auto"/>
        <w:rPr>
          <w:rFonts w:cstheme="minorHAnsi"/>
          <w:b/>
          <w:bCs/>
          <w:color w:val="000000"/>
          <w:sz w:val="24"/>
          <w:szCs w:val="24"/>
          <w:lang w:val="ca-ES"/>
        </w:rPr>
      </w:pPr>
    </w:p>
    <w:p w14:paraId="36845A2D" w14:textId="77777777" w:rsidR="00F81BEE" w:rsidRDefault="00F81BEE">
      <w:pPr>
        <w:spacing w:after="0" w:line="240" w:lineRule="auto"/>
        <w:rPr>
          <w:rFonts w:cstheme="minorHAnsi"/>
          <w:b/>
          <w:bCs/>
          <w:color w:val="000000"/>
          <w:sz w:val="24"/>
          <w:szCs w:val="24"/>
          <w:lang w:val="ca-ES"/>
        </w:rPr>
      </w:pPr>
    </w:p>
    <w:p w14:paraId="0E844F36" w14:textId="77777777" w:rsidR="00F81BEE" w:rsidRDefault="00000000">
      <w:pPr>
        <w:spacing w:after="0" w:line="240" w:lineRule="auto"/>
        <w:rPr>
          <w:rFonts w:cstheme="minorHAnsi"/>
          <w:b/>
          <w:bCs/>
          <w:color w:val="000000"/>
          <w:sz w:val="24"/>
          <w:szCs w:val="24"/>
          <w:lang w:val="ca-ES"/>
        </w:rPr>
      </w:pPr>
      <w:r>
        <w:rPr>
          <w:rFonts w:cstheme="minorHAnsi"/>
          <w:b/>
          <w:bCs/>
          <w:color w:val="000000"/>
          <w:sz w:val="24"/>
          <w:szCs w:val="24"/>
          <w:lang w:val="ca-ES"/>
        </w:rPr>
        <w:t>PULSIOXIMETRIA</w:t>
      </w:r>
    </w:p>
    <w:p w14:paraId="04DF7C73" w14:textId="77777777" w:rsidR="00F81BEE" w:rsidRDefault="00F81BEE">
      <w:pPr>
        <w:spacing w:after="0" w:line="240" w:lineRule="auto"/>
        <w:rPr>
          <w:rFonts w:cstheme="minorHAnsi"/>
          <w:b/>
          <w:bCs/>
          <w:color w:val="000000"/>
          <w:sz w:val="24"/>
          <w:szCs w:val="24"/>
          <w:lang w:val="ca-ES"/>
        </w:rPr>
      </w:pPr>
    </w:p>
    <w:p w14:paraId="0CB5F33D" w14:textId="77777777" w:rsidR="00F81BEE" w:rsidRDefault="00000000">
      <w:pPr>
        <w:rPr>
          <w:rFonts w:cstheme="minorHAnsi"/>
          <w:sz w:val="24"/>
          <w:szCs w:val="24"/>
          <w:lang w:val="ca-ES"/>
        </w:rPr>
      </w:pPr>
      <w:r>
        <w:rPr>
          <w:rFonts w:eastAsia="TeXGyreTermes-Regular" w:cstheme="minorHAnsi"/>
          <w:color w:val="000000"/>
          <w:sz w:val="24"/>
          <w:szCs w:val="24"/>
          <w:lang w:val="ca-ES"/>
        </w:rPr>
        <w:t xml:space="preserve">Aquest </w:t>
      </w:r>
      <w:r>
        <w:rPr>
          <w:rFonts w:eastAsia="TeXGyreTermes-Regular" w:cstheme="minorHAnsi"/>
          <w:sz w:val="24"/>
          <w:szCs w:val="24"/>
          <w:lang w:val="ca-ES"/>
        </w:rPr>
        <w:t>valor es la cinquena constant vital juntament amb la pressió arterial, temperatura, freqüència cardíaca i freqüència respiratòria. En canvi, la gasometria arterial si es una tècnica invasiva.</w:t>
      </w:r>
    </w:p>
    <w:p w14:paraId="3B412C20" w14:textId="77777777" w:rsidR="00F81BEE" w:rsidRDefault="00F81BEE">
      <w:pPr>
        <w:spacing w:after="0" w:line="240" w:lineRule="auto"/>
        <w:rPr>
          <w:rFonts w:cstheme="minorHAnsi"/>
          <w:b/>
          <w:bCs/>
          <w:color w:val="000000"/>
          <w:sz w:val="24"/>
          <w:szCs w:val="24"/>
          <w:lang w:val="ca-ES"/>
        </w:rPr>
      </w:pPr>
    </w:p>
    <w:p w14:paraId="4E468D9C" w14:textId="53EE2A37" w:rsidR="00F81BEE" w:rsidRDefault="00000000">
      <w:pPr>
        <w:spacing w:after="0" w:line="240" w:lineRule="auto"/>
        <w:rPr>
          <w:rFonts w:eastAsia="TeXGyreTermes-Regular" w:cstheme="minorHAnsi"/>
          <w:color w:val="000000"/>
          <w:sz w:val="24"/>
          <w:szCs w:val="24"/>
          <w:lang w:val="ca-ES"/>
        </w:rPr>
      </w:pPr>
      <w:r>
        <w:rPr>
          <w:rFonts w:eastAsia="TeXGyreTermes-Regular" w:cstheme="minorHAnsi"/>
          <w:color w:val="000000"/>
          <w:sz w:val="24"/>
          <w:szCs w:val="24"/>
          <w:lang w:val="ca-ES"/>
        </w:rPr>
        <w:t xml:space="preserve">La </w:t>
      </w:r>
      <w:r>
        <w:rPr>
          <w:rFonts w:eastAsia="TeXGyreTermes-Bold" w:cstheme="minorHAnsi"/>
          <w:b/>
          <w:bCs/>
          <w:color w:val="000000"/>
          <w:sz w:val="24"/>
          <w:szCs w:val="24"/>
          <w:lang w:val="ca-ES"/>
        </w:rPr>
        <w:t xml:space="preserve">saturació d’oxigen </w:t>
      </w:r>
      <w:r>
        <w:rPr>
          <w:rFonts w:eastAsia="TeXGyreTermes-Regular" w:cstheme="minorHAnsi"/>
          <w:color w:val="000000"/>
          <w:sz w:val="24"/>
          <w:szCs w:val="24"/>
          <w:lang w:val="ca-ES"/>
        </w:rPr>
        <w:t>s’utilitza per indicar la quantitat (en %) d’un gas en un líquid, concretament la saturació arterial d’oxigen</w:t>
      </w:r>
      <w:r w:rsidR="00306CDE">
        <w:rPr>
          <w:rFonts w:eastAsia="TeXGyreTermes-Regular" w:cstheme="minorHAnsi"/>
          <w:color w:val="000000"/>
          <w:sz w:val="24"/>
          <w:szCs w:val="24"/>
          <w:lang w:val="ca-ES"/>
        </w:rPr>
        <w:t>, Sp</w:t>
      </w:r>
      <w:r>
        <w:rPr>
          <w:rFonts w:eastAsia="TeXGyreTermes-Regular" w:cstheme="minorHAnsi"/>
          <w:color w:val="000000"/>
          <w:sz w:val="24"/>
          <w:szCs w:val="24"/>
          <w:lang w:val="ca-ES"/>
        </w:rPr>
        <w:t>O</w:t>
      </w:r>
      <w:r w:rsidRPr="00306CDE">
        <w:rPr>
          <w:rFonts w:eastAsia="TeXGyreTermes-Regular" w:cstheme="minorHAnsi"/>
          <w:color w:val="000000"/>
          <w:sz w:val="24"/>
          <w:szCs w:val="24"/>
          <w:vertAlign w:val="subscript"/>
          <w:lang w:val="ca-ES"/>
        </w:rPr>
        <w:t>2</w:t>
      </w:r>
      <w:r w:rsidR="00306CDE">
        <w:rPr>
          <w:rFonts w:eastAsia="TeXGyreTermes-Regular" w:cstheme="minorHAnsi"/>
          <w:color w:val="000000"/>
          <w:sz w:val="24"/>
          <w:szCs w:val="24"/>
          <w:lang w:val="ca-ES"/>
        </w:rPr>
        <w:t>,</w:t>
      </w:r>
      <w:r>
        <w:rPr>
          <w:rFonts w:eastAsia="TeXGyreTermes-Regular" w:cstheme="minorHAnsi"/>
          <w:color w:val="000000"/>
          <w:sz w:val="24"/>
          <w:szCs w:val="24"/>
          <w:lang w:val="ca-ES"/>
        </w:rPr>
        <w:t xml:space="preserve"> en la sang. Permet treure conclusions sobre la funció i l’activitat del pulmó.</w:t>
      </w:r>
    </w:p>
    <w:p w14:paraId="03B3662D" w14:textId="77777777" w:rsidR="00F81BEE" w:rsidRDefault="00000000">
      <w:pPr>
        <w:spacing w:after="0" w:line="240" w:lineRule="auto"/>
        <w:rPr>
          <w:rFonts w:eastAsia="TeXGyreTermes-Regular" w:cstheme="minorHAnsi"/>
          <w:color w:val="000000"/>
          <w:sz w:val="24"/>
          <w:szCs w:val="24"/>
          <w:lang w:val="ca-ES"/>
        </w:rPr>
      </w:pPr>
      <w:r>
        <w:rPr>
          <w:rFonts w:eastAsia="TeXGyreTermes-Regular" w:cstheme="minorHAnsi"/>
          <w:color w:val="000000"/>
          <w:sz w:val="24"/>
          <w:szCs w:val="24"/>
          <w:lang w:val="ca-ES"/>
        </w:rPr>
        <w:t xml:space="preserve">La </w:t>
      </w:r>
      <w:r>
        <w:rPr>
          <w:rFonts w:eastAsia="TeXGyreTermes-Regular" w:cstheme="minorHAnsi"/>
          <w:b/>
          <w:bCs/>
          <w:color w:val="000000"/>
          <w:sz w:val="24"/>
          <w:szCs w:val="24"/>
          <w:lang w:val="ca-ES"/>
        </w:rPr>
        <w:t>pulsioxímetre</w:t>
      </w:r>
      <w:r>
        <w:rPr>
          <w:rFonts w:eastAsia="TeXGyreTermes-Regular" w:cstheme="minorHAnsi"/>
          <w:color w:val="000000"/>
          <w:sz w:val="24"/>
          <w:szCs w:val="24"/>
          <w:lang w:val="ca-ES"/>
        </w:rPr>
        <w:t xml:space="preserve"> es un </w:t>
      </w:r>
      <w:r>
        <w:rPr>
          <w:rFonts w:eastAsia="TeXGyreTermes-Bold" w:cstheme="minorHAnsi"/>
          <w:b/>
          <w:bCs/>
          <w:color w:val="000000"/>
          <w:sz w:val="24"/>
          <w:szCs w:val="24"/>
          <w:lang w:val="ca-ES"/>
        </w:rPr>
        <w:t xml:space="preserve">mètode no invasiu. </w:t>
      </w:r>
      <w:r>
        <w:rPr>
          <w:rFonts w:eastAsia="TeXGyreTermes-Regular" w:cstheme="minorHAnsi"/>
          <w:color w:val="000000"/>
          <w:sz w:val="24"/>
          <w:szCs w:val="24"/>
          <w:lang w:val="ca-ES"/>
        </w:rPr>
        <w:t>Aquesta mesura es fa a partir d’un</w:t>
      </w:r>
    </w:p>
    <w:p w14:paraId="14639149" w14:textId="77777777" w:rsidR="00F81BEE" w:rsidRDefault="00000000">
      <w:pPr>
        <w:rPr>
          <w:rFonts w:cstheme="minorHAnsi"/>
          <w:sz w:val="24"/>
          <w:szCs w:val="24"/>
          <w:lang w:val="ca-ES"/>
        </w:rPr>
      </w:pPr>
      <w:r>
        <w:rPr>
          <w:rFonts w:eastAsia="TeXGyreTermes-Regular" w:cstheme="minorHAnsi"/>
          <w:color w:val="000000"/>
          <w:sz w:val="24"/>
          <w:szCs w:val="24"/>
          <w:lang w:val="ca-ES"/>
        </w:rPr>
        <w:t xml:space="preserve">instrument anomenat pulsioxímetre o saturador. </w:t>
      </w:r>
    </w:p>
    <w:p w14:paraId="4AC95531" w14:textId="77777777" w:rsidR="00F81BEE" w:rsidRDefault="00000000">
      <w:pPr>
        <w:rPr>
          <w:lang w:val="ca-ES"/>
        </w:rPr>
      </w:pPr>
      <w:r>
        <w:rPr>
          <w:noProof/>
        </w:rPr>
        <w:drawing>
          <wp:inline distT="0" distB="0" distL="0" distR="0" wp14:anchorId="5E36E96F" wp14:editId="7BA64114">
            <wp:extent cx="2600960" cy="1570990"/>
            <wp:effectExtent l="0" t="0" r="0" b="0"/>
            <wp:docPr id="2"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4"/>
                    <pic:cNvPicPr>
                      <a:picLocks noChangeAspect="1" noChangeArrowheads="1"/>
                    </pic:cNvPicPr>
                  </pic:nvPicPr>
                  <pic:blipFill>
                    <a:blip r:embed="rId5"/>
                    <a:stretch>
                      <a:fillRect/>
                    </a:stretch>
                  </pic:blipFill>
                  <pic:spPr bwMode="auto">
                    <a:xfrm>
                      <a:off x="0" y="0"/>
                      <a:ext cx="2600960" cy="1570990"/>
                    </a:xfrm>
                    <a:prstGeom prst="rect">
                      <a:avLst/>
                    </a:prstGeom>
                  </pic:spPr>
                </pic:pic>
              </a:graphicData>
            </a:graphic>
          </wp:inline>
        </w:drawing>
      </w:r>
    </w:p>
    <w:p w14:paraId="28D61111"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Els valors normals d’oxigen en sang en els adults es d’entre un 95 i un 100%.</w:t>
      </w:r>
    </w:p>
    <w:p w14:paraId="375991F7"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Cal destacar, però, que les persones diagnosticades de malaltia inflamatòria</w:t>
      </w:r>
    </w:p>
    <w:p w14:paraId="024193F1" w14:textId="77777777" w:rsidR="00F81BEE" w:rsidRDefault="00000000">
      <w:pPr>
        <w:rPr>
          <w:rFonts w:eastAsia="TeXGyreTermes-Regular" w:cstheme="minorHAnsi"/>
          <w:sz w:val="24"/>
          <w:szCs w:val="24"/>
          <w:lang w:val="ca-ES"/>
        </w:rPr>
      </w:pPr>
      <w:r>
        <w:rPr>
          <w:rFonts w:eastAsia="TeXGyreTermes-Regular" w:cstheme="minorHAnsi"/>
          <w:sz w:val="24"/>
          <w:szCs w:val="24"/>
          <w:lang w:val="ca-ES"/>
        </w:rPr>
        <w:t xml:space="preserve">obstructiva crònica tindran una saturació &lt;95%. </w:t>
      </w:r>
    </w:p>
    <w:p w14:paraId="28D5248C" w14:textId="77777777" w:rsidR="00F81BEE" w:rsidRDefault="00F81BEE">
      <w:pPr>
        <w:rPr>
          <w:lang w:val="ca-ES"/>
        </w:rPr>
      </w:pPr>
    </w:p>
    <w:p w14:paraId="13E7D7D8" w14:textId="77777777" w:rsidR="00F81BEE" w:rsidRDefault="00000000">
      <w:pPr>
        <w:spacing w:after="0" w:line="240" w:lineRule="auto"/>
        <w:rPr>
          <w:rFonts w:eastAsia="TeXGyreTermes-Bold" w:cstheme="minorHAnsi"/>
          <w:b/>
          <w:bCs/>
          <w:sz w:val="24"/>
          <w:szCs w:val="24"/>
          <w:lang w:val="ca-ES"/>
        </w:rPr>
      </w:pPr>
      <w:r>
        <w:rPr>
          <w:rFonts w:eastAsia="TeXGyreTermes-Bold" w:cstheme="minorHAnsi"/>
          <w:b/>
          <w:bCs/>
          <w:sz w:val="24"/>
          <w:szCs w:val="24"/>
          <w:lang w:val="ca-ES"/>
        </w:rPr>
        <w:t>Actuació segons % de saturació:</w:t>
      </w:r>
    </w:p>
    <w:p w14:paraId="405040CD"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 xml:space="preserve">• Amb una saturació del </w:t>
      </w:r>
      <w:r>
        <w:rPr>
          <w:rFonts w:eastAsia="TeXGyreTermes-Regular" w:cstheme="minorHAnsi"/>
          <w:b/>
          <w:bCs/>
          <w:sz w:val="24"/>
          <w:szCs w:val="24"/>
          <w:lang w:val="ca-ES"/>
        </w:rPr>
        <w:t>95%</w:t>
      </w:r>
      <w:r>
        <w:rPr>
          <w:rFonts w:eastAsia="TeXGyreTermes-Regular" w:cstheme="minorHAnsi"/>
          <w:sz w:val="24"/>
          <w:szCs w:val="24"/>
          <w:lang w:val="ca-ES"/>
        </w:rPr>
        <w:t>: es recomana no actuació immediata.</w:t>
      </w:r>
    </w:p>
    <w:p w14:paraId="61D2CF50"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 xml:space="preserve">• Amb saturacions entre </w:t>
      </w:r>
      <w:r>
        <w:rPr>
          <w:rFonts w:eastAsia="TeXGyreTermes-Regular" w:cstheme="minorHAnsi"/>
          <w:b/>
          <w:bCs/>
          <w:sz w:val="24"/>
          <w:szCs w:val="24"/>
          <w:lang w:val="ca-ES"/>
        </w:rPr>
        <w:t>95-90%:</w:t>
      </w:r>
      <w:r>
        <w:rPr>
          <w:rFonts w:eastAsia="TeXGyreTermes-Regular" w:cstheme="minorHAnsi"/>
          <w:sz w:val="24"/>
          <w:szCs w:val="24"/>
          <w:lang w:val="ca-ES"/>
        </w:rPr>
        <w:t xml:space="preserve"> tractament immediat i monitoratge de la</w:t>
      </w:r>
    </w:p>
    <w:p w14:paraId="6F681DE8"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resposta a aquest; i segons com sigui, valorar derivació a l’hospital. Els</w:t>
      </w:r>
    </w:p>
    <w:p w14:paraId="08503210"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pacients amb malaltia respiratòria crònica toleren be saturacions al voltant</w:t>
      </w:r>
    </w:p>
    <w:p w14:paraId="079D4F21"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d’aquests valors.</w:t>
      </w:r>
    </w:p>
    <w:p w14:paraId="38F16B1F"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 xml:space="preserve">• Amb saturacions inferiors al </w:t>
      </w:r>
      <w:r>
        <w:rPr>
          <w:rFonts w:eastAsia="TeXGyreTermes-Regular" w:cstheme="minorHAnsi"/>
          <w:b/>
          <w:bCs/>
          <w:sz w:val="24"/>
          <w:szCs w:val="24"/>
          <w:lang w:val="ca-ES"/>
        </w:rPr>
        <w:t>90%</w:t>
      </w:r>
      <w:r>
        <w:rPr>
          <w:rFonts w:eastAsia="TeXGyreTermes-Regular" w:cstheme="minorHAnsi"/>
          <w:sz w:val="24"/>
          <w:szCs w:val="24"/>
          <w:lang w:val="ca-ES"/>
        </w:rPr>
        <w:t>: es tracta d’un malalt greu, per exemple</w:t>
      </w:r>
    </w:p>
    <w:p w14:paraId="20A75EB4"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 xml:space="preserve">amb </w:t>
      </w:r>
      <w:r>
        <w:rPr>
          <w:rFonts w:eastAsia="TeXGyreTermes-Regular" w:cstheme="minorHAnsi"/>
          <w:b/>
          <w:bCs/>
          <w:sz w:val="24"/>
          <w:szCs w:val="24"/>
          <w:lang w:val="ca-ES"/>
        </w:rPr>
        <w:t>hipòxia severa</w:t>
      </w:r>
      <w:r>
        <w:rPr>
          <w:rFonts w:eastAsia="TeXGyreTermes-Regular" w:cstheme="minorHAnsi"/>
          <w:sz w:val="24"/>
          <w:szCs w:val="24"/>
          <w:lang w:val="ca-ES"/>
        </w:rPr>
        <w:t xml:space="preserve">. S’ha d’aplicar </w:t>
      </w:r>
      <w:proofErr w:type="spellStart"/>
      <w:r>
        <w:rPr>
          <w:rFonts w:eastAsia="TeXGyreTermes-Regular" w:cstheme="minorHAnsi"/>
          <w:sz w:val="24"/>
          <w:szCs w:val="24"/>
          <w:lang w:val="ca-ES"/>
        </w:rPr>
        <w:t>oxigenoteràpia</w:t>
      </w:r>
      <w:proofErr w:type="spellEnd"/>
      <w:r>
        <w:rPr>
          <w:rFonts w:eastAsia="TeXGyreTermes-Regular" w:cstheme="minorHAnsi"/>
          <w:sz w:val="24"/>
          <w:szCs w:val="24"/>
          <w:lang w:val="ca-ES"/>
        </w:rPr>
        <w:t>, tractament i trasllat a</w:t>
      </w:r>
    </w:p>
    <w:p w14:paraId="4FE8DC15"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l’hospital.</w:t>
      </w:r>
    </w:p>
    <w:p w14:paraId="334FF06A" w14:textId="77777777" w:rsidR="00F81BEE" w:rsidRDefault="00000000">
      <w:pPr>
        <w:spacing w:after="0" w:line="240" w:lineRule="auto"/>
        <w:rPr>
          <w:rFonts w:eastAsia="TeXGyreTermes-Regular" w:cstheme="minorHAnsi"/>
          <w:sz w:val="24"/>
          <w:szCs w:val="24"/>
          <w:lang w:val="ca-ES"/>
        </w:rPr>
      </w:pPr>
      <w:r>
        <w:rPr>
          <w:rFonts w:eastAsia="TeXGyreTermes-Regular" w:cstheme="minorHAnsi"/>
          <w:sz w:val="24"/>
          <w:szCs w:val="24"/>
          <w:lang w:val="ca-ES"/>
        </w:rPr>
        <w:t xml:space="preserve">• Amb saturacions inferiors </w:t>
      </w:r>
      <w:r>
        <w:rPr>
          <w:rFonts w:eastAsia="TeXGyreTermes-Regular" w:cstheme="minorHAnsi"/>
          <w:b/>
          <w:bCs/>
          <w:sz w:val="24"/>
          <w:szCs w:val="24"/>
          <w:lang w:val="ca-ES"/>
        </w:rPr>
        <w:t>a 80%: valorar intubació i ventilació mecànica</w:t>
      </w:r>
      <w:r>
        <w:rPr>
          <w:rFonts w:eastAsia="TeXGyreTermes-Regular" w:cstheme="minorHAnsi"/>
          <w:sz w:val="24"/>
          <w:szCs w:val="24"/>
          <w:lang w:val="ca-ES"/>
        </w:rPr>
        <w:t>.</w:t>
      </w:r>
    </w:p>
    <w:p w14:paraId="1CC6E3BC" w14:textId="77777777" w:rsidR="00F81BEE" w:rsidRDefault="00000000">
      <w:pPr>
        <w:rPr>
          <w:rFonts w:eastAsia="TeXGyreTermes-Regular" w:cstheme="minorHAnsi"/>
          <w:b/>
          <w:bCs/>
          <w:sz w:val="24"/>
          <w:szCs w:val="24"/>
          <w:lang w:val="ca-ES"/>
        </w:rPr>
      </w:pPr>
      <w:r>
        <w:rPr>
          <w:rFonts w:eastAsia="TeXGyreTermes-Regular" w:cstheme="minorHAnsi"/>
          <w:b/>
          <w:bCs/>
          <w:sz w:val="24"/>
          <w:szCs w:val="24"/>
          <w:lang w:val="ca-ES"/>
        </w:rPr>
        <w:t>• En nens amb &lt;92%: remetre a l’hospital.</w:t>
      </w:r>
    </w:p>
    <w:p w14:paraId="151B52E1" w14:textId="77777777" w:rsidR="00F81BEE" w:rsidRDefault="00F81BEE">
      <w:pPr>
        <w:rPr>
          <w:rFonts w:eastAsia="TeXGyreTermes-Regular" w:cstheme="minorHAnsi"/>
          <w:sz w:val="24"/>
          <w:szCs w:val="24"/>
          <w:lang w:val="ca-ES"/>
        </w:rPr>
      </w:pPr>
    </w:p>
    <w:p w14:paraId="54474253" w14:textId="77777777" w:rsidR="00F81BEE" w:rsidRDefault="00000000">
      <w:pPr>
        <w:spacing w:after="0" w:line="240" w:lineRule="auto"/>
        <w:rPr>
          <w:rFonts w:cstheme="minorHAnsi"/>
          <w:b/>
          <w:bCs/>
          <w:lang w:val="ca-ES"/>
        </w:rPr>
      </w:pPr>
      <w:r>
        <w:rPr>
          <w:rFonts w:cstheme="minorHAnsi"/>
          <w:b/>
          <w:bCs/>
          <w:lang w:val="ca-ES"/>
        </w:rPr>
        <w:t>MATERIAL NECESSARI:</w:t>
      </w:r>
    </w:p>
    <w:p w14:paraId="4CC85A05" w14:textId="77777777" w:rsidR="00F81BEE" w:rsidRDefault="00000000">
      <w:pPr>
        <w:spacing w:after="0" w:line="240" w:lineRule="auto"/>
        <w:rPr>
          <w:rFonts w:cstheme="minorHAnsi"/>
          <w:lang w:val="ca-ES"/>
        </w:rPr>
      </w:pPr>
      <w:r>
        <w:rPr>
          <w:rFonts w:cstheme="minorHAnsi"/>
          <w:lang w:val="ca-ES"/>
        </w:rPr>
        <w:t>• Cotó</w:t>
      </w:r>
    </w:p>
    <w:p w14:paraId="3D3252ED" w14:textId="77777777" w:rsidR="00F81BEE" w:rsidRDefault="00000000">
      <w:pPr>
        <w:spacing w:after="0" w:line="240" w:lineRule="auto"/>
        <w:rPr>
          <w:rFonts w:cstheme="minorHAnsi"/>
          <w:lang w:val="ca-ES"/>
        </w:rPr>
      </w:pPr>
      <w:r>
        <w:rPr>
          <w:rFonts w:cstheme="minorHAnsi"/>
          <w:lang w:val="ca-ES"/>
        </w:rPr>
        <w:t xml:space="preserve">• Monitor de </w:t>
      </w:r>
      <w:proofErr w:type="spellStart"/>
      <w:r>
        <w:rPr>
          <w:rFonts w:cstheme="minorHAnsi"/>
          <w:lang w:val="ca-ES"/>
        </w:rPr>
        <w:t>pulsioximetria</w:t>
      </w:r>
      <w:proofErr w:type="spellEnd"/>
    </w:p>
    <w:p w14:paraId="4EA41128" w14:textId="77777777" w:rsidR="00F81BEE" w:rsidRDefault="00000000">
      <w:pPr>
        <w:spacing w:after="0" w:line="240" w:lineRule="auto"/>
        <w:rPr>
          <w:rFonts w:cstheme="minorHAnsi"/>
          <w:lang w:val="ca-ES"/>
        </w:rPr>
      </w:pPr>
      <w:r>
        <w:rPr>
          <w:rFonts w:cstheme="minorHAnsi"/>
          <w:lang w:val="ca-ES"/>
        </w:rPr>
        <w:t>• Acetona/dissolvent d’ungles</w:t>
      </w:r>
    </w:p>
    <w:p w14:paraId="07331B2E" w14:textId="77777777" w:rsidR="00F81BEE" w:rsidRDefault="00000000">
      <w:pPr>
        <w:spacing w:after="0" w:line="240" w:lineRule="auto"/>
        <w:rPr>
          <w:rFonts w:cstheme="minorHAnsi"/>
          <w:lang w:val="ca-ES"/>
        </w:rPr>
      </w:pPr>
      <w:r>
        <w:rPr>
          <w:rFonts w:cstheme="minorHAnsi"/>
          <w:lang w:val="ca-ES"/>
        </w:rPr>
        <w:t xml:space="preserve">• Sensor o transductor de </w:t>
      </w:r>
      <w:proofErr w:type="spellStart"/>
      <w:r>
        <w:rPr>
          <w:rFonts w:cstheme="minorHAnsi"/>
          <w:lang w:val="ca-ES"/>
        </w:rPr>
        <w:t>pulsioximetria</w:t>
      </w:r>
      <w:proofErr w:type="spellEnd"/>
      <w:r>
        <w:rPr>
          <w:rFonts w:cstheme="minorHAnsi"/>
          <w:lang w:val="ca-ES"/>
        </w:rPr>
        <w:t xml:space="preserve"> (existeixen diferents tipus de sensors, depenent del monitor i de l’edat)</w:t>
      </w:r>
    </w:p>
    <w:p w14:paraId="4EA6598D" w14:textId="77777777" w:rsidR="00F81BEE" w:rsidRDefault="00F81BEE">
      <w:pPr>
        <w:rPr>
          <w:rFonts w:cstheme="minorHAnsi"/>
          <w:b/>
          <w:bCs/>
          <w:lang w:val="ca-ES"/>
        </w:rPr>
      </w:pPr>
    </w:p>
    <w:p w14:paraId="5EC645A5" w14:textId="77777777" w:rsidR="00F81BEE" w:rsidRDefault="00F81BEE">
      <w:pPr>
        <w:spacing w:after="0" w:line="240" w:lineRule="auto"/>
        <w:rPr>
          <w:rFonts w:cstheme="minorHAnsi"/>
          <w:b/>
          <w:bCs/>
          <w:lang w:val="ca-ES"/>
        </w:rPr>
      </w:pPr>
    </w:p>
    <w:p w14:paraId="776AB975" w14:textId="77777777" w:rsidR="00F81BEE" w:rsidRDefault="00000000">
      <w:pPr>
        <w:spacing w:after="0" w:line="240" w:lineRule="auto"/>
        <w:rPr>
          <w:rFonts w:eastAsia="TeXGyreTermes-Bold" w:cstheme="minorHAnsi"/>
          <w:b/>
          <w:bCs/>
          <w:lang w:val="ca-ES"/>
        </w:rPr>
      </w:pPr>
      <w:r>
        <w:rPr>
          <w:rFonts w:eastAsia="TeXGyreTermes-Bold" w:cstheme="minorHAnsi"/>
          <w:b/>
          <w:bCs/>
          <w:lang w:val="ca-ES"/>
        </w:rPr>
        <w:t>PROCEDIMENT DE MESURA DE LA PULSIOXIMETRIA</w:t>
      </w:r>
    </w:p>
    <w:p w14:paraId="5459BAA2" w14:textId="77777777" w:rsidR="00F81BEE" w:rsidRDefault="00F81BEE">
      <w:pPr>
        <w:spacing w:after="0" w:line="240" w:lineRule="auto"/>
        <w:rPr>
          <w:rFonts w:eastAsia="TeXGyreTermes-Bold" w:cstheme="minorHAnsi"/>
          <w:b/>
          <w:bCs/>
          <w:lang w:val="ca-ES"/>
        </w:rPr>
      </w:pPr>
    </w:p>
    <w:p w14:paraId="1159BFE2"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1. </w:t>
      </w:r>
      <w:r>
        <w:rPr>
          <w:rFonts w:eastAsia="TeXGyreTermes-Bold" w:cstheme="minorHAnsi"/>
          <w:lang w:val="ca-ES"/>
        </w:rPr>
        <w:t xml:space="preserve">Preparació del personal: rentat higiènic de mans, abans i després del procediment. </w:t>
      </w:r>
    </w:p>
    <w:p w14:paraId="3B22EB36"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2. </w:t>
      </w:r>
      <w:r>
        <w:rPr>
          <w:rFonts w:eastAsia="TeXGyreTermes-Bold" w:cstheme="minorHAnsi"/>
          <w:lang w:val="ca-ES"/>
        </w:rPr>
        <w:t>Expliqueu al pacient i/o la família/cuidador el procediment.</w:t>
      </w:r>
    </w:p>
    <w:p w14:paraId="45A6539A"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3. </w:t>
      </w:r>
      <w:r>
        <w:rPr>
          <w:rFonts w:eastAsia="TeXGyreTermes-Bold" w:cstheme="minorHAnsi"/>
          <w:lang w:val="ca-ES"/>
        </w:rPr>
        <w:t>Traieu, si cal, l’esmalt d’ungles, joies o roba ajustada (nivell III).</w:t>
      </w:r>
    </w:p>
    <w:p w14:paraId="18E224BF"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4. </w:t>
      </w:r>
      <w:r>
        <w:rPr>
          <w:rFonts w:eastAsia="TeXGyreTermes-Bold" w:cstheme="minorHAnsi"/>
          <w:lang w:val="ca-ES"/>
        </w:rPr>
        <w:t>Feu la higiene de les mans amb un sabó antisèptic, o utilitzeu una solució hidroalcohòlica.</w:t>
      </w:r>
    </w:p>
    <w:p w14:paraId="36A87925"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5. </w:t>
      </w:r>
      <w:r>
        <w:rPr>
          <w:rFonts w:eastAsia="TeXGyreTermes-Bold" w:cstheme="minorHAnsi"/>
          <w:lang w:val="ca-ES"/>
        </w:rPr>
        <w:t>Observeu si el malalt té teràpia d’oxigen.</w:t>
      </w:r>
    </w:p>
    <w:p w14:paraId="783C5E66"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6. </w:t>
      </w:r>
      <w:r>
        <w:rPr>
          <w:rFonts w:eastAsia="TeXGyreTermes-Bold" w:cstheme="minorHAnsi"/>
          <w:lang w:val="ca-ES"/>
        </w:rPr>
        <w:t>Seleccioneu una zona que estigui ben vascularitzada ex: els dits índex, del mig o anular. En nounats es pot utilitzar el dors del peu o de la mà, lòbul de l’orella.</w:t>
      </w:r>
    </w:p>
    <w:p w14:paraId="3EFE66B7"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7. </w:t>
      </w:r>
      <w:r>
        <w:rPr>
          <w:rFonts w:eastAsia="TeXGyreTermes-Bold" w:cstheme="minorHAnsi"/>
          <w:lang w:val="ca-ES"/>
        </w:rPr>
        <w:t>Col·loqueu el sensor en el lloc escollit, dit o lòbul de l’orella (tingueu en compte l’edat en els nens). El cable ha de quedar al dors de la mà, fixant amb cinta adhesiva si cal. Col·loqueu el sensor per sobre del nivell del cor.</w:t>
      </w:r>
    </w:p>
    <w:p w14:paraId="40B75777"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8. </w:t>
      </w:r>
      <w:r>
        <w:rPr>
          <w:rFonts w:eastAsia="TeXGyreTermes-Bold" w:cstheme="minorHAnsi"/>
          <w:lang w:val="ca-ES"/>
        </w:rPr>
        <w:t>Deixeu el sensor col·locat el temps suficient per obtenir lectures consistents.</w:t>
      </w:r>
    </w:p>
    <w:p w14:paraId="54A35A07"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9. </w:t>
      </w:r>
      <w:r>
        <w:rPr>
          <w:rFonts w:eastAsia="TeXGyreTermes-Bold" w:cstheme="minorHAnsi"/>
          <w:lang w:val="ca-ES"/>
        </w:rPr>
        <w:t>Si es detecta una lectura baixa, torneu a mesurar.</w:t>
      </w:r>
    </w:p>
    <w:p w14:paraId="19C1AAAB"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10. </w:t>
      </w:r>
      <w:r>
        <w:rPr>
          <w:rFonts w:eastAsia="TeXGyreTermes-Bold" w:cstheme="minorHAnsi"/>
          <w:lang w:val="ca-ES"/>
        </w:rPr>
        <w:t>Deixeu el pacient en posició còmoda i adequada, permetent el fàcil accés al timbre i als objectes personals.</w:t>
      </w:r>
    </w:p>
    <w:p w14:paraId="35BD19B8"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11. </w:t>
      </w:r>
      <w:r>
        <w:rPr>
          <w:rFonts w:eastAsia="TeXGyreTermes-Bold" w:cstheme="minorHAnsi"/>
          <w:lang w:val="ca-ES"/>
        </w:rPr>
        <w:t>Recolliu el material sobrant.</w:t>
      </w:r>
    </w:p>
    <w:p w14:paraId="32907924"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12. </w:t>
      </w:r>
      <w:r>
        <w:rPr>
          <w:rFonts w:eastAsia="TeXGyreTermes-Bold" w:cstheme="minorHAnsi"/>
          <w:lang w:val="ca-ES"/>
        </w:rPr>
        <w:t>Feu la higiene de les mans amb un sabó antisèptic, o utilitzeu una solució hidroalcohòlica.</w:t>
      </w:r>
    </w:p>
    <w:p w14:paraId="6B8436FD" w14:textId="77777777" w:rsidR="00F81BEE" w:rsidRDefault="00000000">
      <w:pPr>
        <w:spacing w:after="0" w:line="240" w:lineRule="auto"/>
        <w:rPr>
          <w:rFonts w:eastAsia="TeXGyreTermes-Bold" w:cstheme="minorHAnsi"/>
          <w:lang w:val="ca-ES"/>
        </w:rPr>
      </w:pPr>
      <w:r>
        <w:rPr>
          <w:rFonts w:eastAsia="TeXGyreTermes-Bold" w:cstheme="minorHAnsi"/>
          <w:b/>
          <w:bCs/>
          <w:lang w:val="ca-ES"/>
        </w:rPr>
        <w:t xml:space="preserve">13. </w:t>
      </w:r>
      <w:r>
        <w:rPr>
          <w:rFonts w:eastAsia="TeXGyreTermes-Bold" w:cstheme="minorHAnsi"/>
          <w:lang w:val="ca-ES"/>
        </w:rPr>
        <w:t>Registreu els valors obtinguts i les accions realitzades.</w:t>
      </w:r>
    </w:p>
    <w:p w14:paraId="4A3E6ABE" w14:textId="77777777" w:rsidR="00F81BEE" w:rsidRDefault="00000000">
      <w:pPr>
        <w:spacing w:after="0" w:line="240" w:lineRule="auto"/>
        <w:rPr>
          <w:rFonts w:eastAsia="TeXGyreTermes-Bold" w:cstheme="minorHAnsi"/>
          <w:lang w:val="ca-ES"/>
        </w:rPr>
      </w:pPr>
      <w:r>
        <w:rPr>
          <w:rFonts w:eastAsia="TeXGyreTermes-Bold" w:cstheme="minorHAnsi"/>
          <w:lang w:val="ca-ES"/>
        </w:rPr>
        <w:t>• Registreu en la gràfica d’infermeria l’hora i el lloc de rotació on es col·loca el sensor.</w:t>
      </w:r>
    </w:p>
    <w:p w14:paraId="5791C4FA" w14:textId="77777777" w:rsidR="00F81BEE" w:rsidRDefault="00000000">
      <w:pPr>
        <w:spacing w:after="0" w:line="240" w:lineRule="auto"/>
        <w:rPr>
          <w:rFonts w:eastAsia="TeXGyreTermes-Bold" w:cstheme="minorHAnsi"/>
          <w:lang w:val="ca-ES"/>
        </w:rPr>
      </w:pPr>
      <w:r>
        <w:rPr>
          <w:rFonts w:eastAsia="TeXGyreTermes-Bold" w:cstheme="minorHAnsi"/>
          <w:lang w:val="ca-ES"/>
        </w:rPr>
        <w:t>• Les lectures falsament baixes o erràtiques en la SatO2 poden ser degudes a mala perfusió perifèrica per fred ambiental, hipotèrmia, hipotensió, vasoconstricció, xoc, anèmia, administració de medicació que produeix vasoconstricció o vasodilatació perifèrica, o contrastos radiològics o blau de metilè. Etc.</w:t>
      </w:r>
    </w:p>
    <w:p w14:paraId="0E3E8F61" w14:textId="77777777" w:rsidR="00F81BEE" w:rsidRDefault="00000000">
      <w:pPr>
        <w:spacing w:after="0" w:line="240" w:lineRule="auto"/>
        <w:rPr>
          <w:rFonts w:eastAsia="TeXGyreTermes-Bold" w:cstheme="minorHAnsi"/>
          <w:lang w:val="ca-ES"/>
        </w:rPr>
      </w:pPr>
      <w:r>
        <w:rPr>
          <w:rFonts w:eastAsia="TeXGyreTermes-Bold" w:cstheme="minorHAnsi"/>
          <w:lang w:val="ca-ES"/>
        </w:rPr>
        <w:t>• En la insuficiència cardíaca dreta o insuficiència tricúspide l’augment del pols venós pot afectar la lectura.</w:t>
      </w:r>
    </w:p>
    <w:p w14:paraId="110F2693" w14:textId="77777777" w:rsidR="00F81BEE" w:rsidRDefault="00F81BEE">
      <w:pPr>
        <w:rPr>
          <w:rFonts w:cstheme="minorHAnsi"/>
          <w:lang w:val="ca-ES"/>
        </w:rPr>
      </w:pPr>
    </w:p>
    <w:sectPr w:rsidR="00F81BEE">
      <w:pgSz w:w="11906" w:h="16838"/>
      <w:pgMar w:top="1417" w:right="1701" w:bottom="1417" w:left="1701"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eXGyreTermes-Regular">
    <w:panose1 w:val="00000000000000000000"/>
    <w:charset w:val="00"/>
    <w:family w:val="roman"/>
    <w:notTrueType/>
    <w:pitch w:val="default"/>
  </w:font>
  <w:font w:name="TeXGyreTermes-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EE"/>
    <w:rsid w:val="00306CDE"/>
    <w:rsid w:val="00F81BE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CE46"/>
  <w15:docId w15:val="{57F3832B-9539-4BCC-B71B-2BD0AFEF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F0E58"/>
    <w:rPr>
      <w:rFonts w:ascii="Calibri" w:eastAsia="Calibri" w:hAnsi="Calibri" w:cs="Times New Roman"/>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styleId="Encabezado">
    <w:name w:val="header"/>
    <w:basedOn w:val="Normal"/>
    <w:link w:val="EncabezadoCar"/>
    <w:uiPriority w:val="99"/>
    <w:rsid w:val="00AF0E58"/>
    <w:pPr>
      <w:tabs>
        <w:tab w:val="center" w:pos="4252"/>
        <w:tab w:val="right" w:pos="8504"/>
      </w:tabs>
      <w:spacing w:after="0" w:line="240" w:lineRule="auto"/>
    </w:pPr>
    <w:rPr>
      <w:rFonts w:ascii="Calibri" w:eastAsia="Calibri" w:hAnsi="Calibri" w:cs="Times New Roman"/>
    </w:rPr>
  </w:style>
  <w:style w:type="table" w:styleId="Tablaconcuadrcula">
    <w:name w:val="Table Grid"/>
    <w:basedOn w:val="Tablanormal"/>
    <w:uiPriority w:val="99"/>
    <w:rsid w:val="00AF0E58"/>
    <w:rPr>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dc:description/>
  <cp:lastModifiedBy>profe</cp:lastModifiedBy>
  <cp:revision>2</cp:revision>
  <dcterms:created xsi:type="dcterms:W3CDTF">2022-11-16T16:59:00Z</dcterms:created>
  <dcterms:modified xsi:type="dcterms:W3CDTF">2022-11-16T16:59:00Z</dcterms:modified>
  <dc:language>ca-ES</dc:language>
</cp:coreProperties>
</file>